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7AC1909A" w:rsidR="00F0521B" w:rsidRPr="00F0521B" w:rsidRDefault="009F095B" w:rsidP="006B3FA2">
            <w:pPr>
              <w:spacing w:before="60" w:after="60" w:line="276" w:lineRule="auto"/>
              <w:jc w:val="both"/>
              <w:rPr>
                <w:rFonts w:ascii="Arial" w:hAnsi="Arial" w:cs="Arial"/>
                <w:sz w:val="20"/>
              </w:rPr>
            </w:pPr>
            <w:r>
              <w:rPr>
                <w:rFonts w:ascii="Arial" w:hAnsi="Arial" w:cs="Arial"/>
                <w:sz w:val="20"/>
              </w:rPr>
              <w:t>Tutuka</w:t>
            </w:r>
            <w:r w:rsidR="00F243F6">
              <w:rPr>
                <w:rFonts w:ascii="Arial" w:hAnsi="Arial" w:cs="Arial"/>
                <w:sz w:val="20"/>
              </w:rPr>
              <w:t xml:space="preserve"> Power Station</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485FE7A8" w:rsidR="00EC662F" w:rsidRPr="00336747" w:rsidRDefault="009F095B" w:rsidP="00880865">
            <w:pPr>
              <w:spacing w:line="360" w:lineRule="auto"/>
              <w:jc w:val="both"/>
              <w:rPr>
                <w:rFonts w:ascii="Arial" w:hAnsi="Arial" w:cs="Arial"/>
                <w:sz w:val="20"/>
                <w:lang w:val="en-ZA"/>
              </w:rPr>
            </w:pPr>
            <w:bookmarkStart w:id="0" w:name="_Hlk201752856"/>
            <w:r w:rsidRPr="009F095B">
              <w:rPr>
                <w:rFonts w:ascii="Arial" w:hAnsi="Arial" w:cs="Arial"/>
                <w:sz w:val="20"/>
              </w:rPr>
              <w:t xml:space="preserve">Supply and deliver of large coupling for the Milling Plant at Tutuka Power Station </w:t>
            </w:r>
            <w:bookmarkEnd w:id="0"/>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7568966E" w:rsidR="00EB6A30" w:rsidRPr="00F0521B" w:rsidRDefault="009F095B" w:rsidP="00EB03A4">
            <w:pPr>
              <w:spacing w:before="60" w:after="60" w:line="276" w:lineRule="auto"/>
              <w:jc w:val="both"/>
              <w:rPr>
                <w:rFonts w:ascii="Arial" w:hAnsi="Arial" w:cs="Arial"/>
                <w:sz w:val="20"/>
              </w:rPr>
            </w:pPr>
            <w:r>
              <w:rPr>
                <w:rFonts w:ascii="Arial" w:hAnsi="Arial" w:cs="Arial"/>
                <w:sz w:val="20"/>
              </w:rPr>
              <w:t>A</w:t>
            </w:r>
            <w:r w:rsidRPr="009F095B">
              <w:rPr>
                <w:rFonts w:ascii="Arial" w:hAnsi="Arial" w:cs="Arial"/>
                <w:sz w:val="20"/>
              </w:rPr>
              <w:t>s and when required Basis” for a duration of 60 Months</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5F6B87E5" w:rsidR="00304117" w:rsidRPr="00CF781D" w:rsidRDefault="009F095B" w:rsidP="00F0521B">
            <w:pPr>
              <w:spacing w:before="60" w:after="60" w:line="276" w:lineRule="auto"/>
              <w:jc w:val="both"/>
              <w:rPr>
                <w:rFonts w:ascii="Arial" w:hAnsi="Arial" w:cs="Arial"/>
                <w:sz w:val="20"/>
              </w:rPr>
            </w:pPr>
            <w:r w:rsidRPr="009F095B">
              <w:rPr>
                <w:rFonts w:ascii="Arial" w:hAnsi="Arial" w:cs="Arial"/>
                <w:sz w:val="20"/>
              </w:rPr>
              <w:t>Basetsana</w:t>
            </w:r>
            <w:r w:rsidR="002905F3">
              <w:rPr>
                <w:rFonts w:ascii="Arial" w:hAnsi="Arial" w:cs="Arial"/>
                <w:sz w:val="20"/>
              </w:rPr>
              <w:t xml:space="preserve"> </w:t>
            </w:r>
            <w:r w:rsidRPr="009F095B">
              <w:rPr>
                <w:rFonts w:ascii="Arial" w:hAnsi="Arial" w:cs="Arial"/>
                <w:sz w:val="20"/>
              </w:rPr>
              <w:t>Lebese</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4915AF7" w:rsidR="006F7826" w:rsidRDefault="006F7826" w:rsidP="00F243F6">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F243F6">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F243F6">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F243F6">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F243F6">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2DE01C2C" w:rsidR="006F7826"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09A599C8" w14:textId="375BA3A7" w:rsidR="00CA337A" w:rsidRPr="00F243F6" w:rsidRDefault="00CA337A" w:rsidP="006F7826">
      <w:pPr>
        <w:pStyle w:val="ListParagraph"/>
        <w:numPr>
          <w:ilvl w:val="0"/>
          <w:numId w:val="39"/>
        </w:numPr>
        <w:spacing w:after="200" w:line="276" w:lineRule="auto"/>
        <w:jc w:val="both"/>
        <w:rPr>
          <w:rFonts w:ascii="Arial" w:hAnsi="Arial" w:cs="Arial"/>
          <w:bCs/>
          <w:sz w:val="20"/>
          <w:lang w:val="en-ZA"/>
        </w:rPr>
      </w:pPr>
      <w:r w:rsidRPr="00F243F6">
        <w:rPr>
          <w:rFonts w:ascii="Arial" w:hAnsi="Arial" w:cs="Arial"/>
          <w:bCs/>
          <w:sz w:val="20"/>
          <w:lang w:val="en-ZA"/>
        </w:rPr>
        <w:t>In a case of a trust, consortium or joint venture (including incorporated consortia and joint ventures),</w:t>
      </w:r>
      <w:r w:rsidR="00F243F6">
        <w:rPr>
          <w:rFonts w:ascii="Arial" w:hAnsi="Arial" w:cs="Arial"/>
          <w:bCs/>
          <w:sz w:val="20"/>
          <w:lang w:val="en-ZA"/>
        </w:rPr>
        <w:t xml:space="preserve"> </w:t>
      </w:r>
      <w:r w:rsidRPr="00F243F6">
        <w:rPr>
          <w:rFonts w:ascii="Arial" w:hAnsi="Arial" w:cs="Arial"/>
          <w:bCs/>
          <w:sz w:val="20"/>
          <w:lang w:val="en-ZA"/>
        </w:rPr>
        <w:t>a consolidated B-BBEE status level verification certificate.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466D30D7" w:rsidR="006F7826" w:rsidRDefault="006F782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1"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6F7826">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6F7826">
      <w:pPr>
        <w:autoSpaceDE w:val="0"/>
        <w:autoSpaceDN w:val="0"/>
        <w:adjustRightInd w:val="0"/>
        <w:rPr>
          <w:rFonts w:ascii="Arial" w:hAnsi="Arial" w:cs="Arial"/>
          <w:b/>
        </w:rPr>
      </w:pPr>
      <w:r w:rsidRPr="000C379B">
        <w:rPr>
          <w:rFonts w:ascii="Arial" w:hAnsi="Arial" w:cs="Arial"/>
          <w:bCs/>
          <w:sz w:val="20"/>
          <w:lang w:val="en-ZA"/>
        </w:rPr>
        <w:t>award.</w:t>
      </w:r>
    </w:p>
    <w:p w14:paraId="326AE27E" w14:textId="77777777" w:rsidR="00546E27" w:rsidRPr="005B5A73" w:rsidRDefault="00546E27" w:rsidP="00546E27">
      <w:pPr>
        <w:autoSpaceDE w:val="0"/>
        <w:autoSpaceDN w:val="0"/>
        <w:adjustRightInd w:val="0"/>
        <w:rPr>
          <w:rFonts w:ascii="Arial" w:hAnsi="Arial" w:cs="Arial"/>
          <w:bCs/>
          <w:sz w:val="16"/>
          <w:szCs w:val="16"/>
        </w:rPr>
      </w:pPr>
    </w:p>
    <w:bookmarkEnd w:id="1"/>
    <w:p w14:paraId="47162683" w14:textId="3A91FCCF" w:rsidR="00546E27" w:rsidRPr="00816D48" w:rsidRDefault="006F7826" w:rsidP="00546E27">
      <w:pPr>
        <w:spacing w:before="12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.1 Designated Sectors </w:t>
      </w:r>
    </w:p>
    <w:tbl>
      <w:tblPr>
        <w:tblStyle w:val="TableGrid"/>
        <w:tblW w:w="9407" w:type="dxa"/>
        <w:tblLook w:val="04A0" w:firstRow="1" w:lastRow="0" w:firstColumn="1" w:lastColumn="0" w:noHBand="0" w:noVBand="1"/>
      </w:tblPr>
      <w:tblGrid>
        <w:gridCol w:w="9407"/>
      </w:tblGrid>
      <w:tr w:rsidR="00546E27" w:rsidRPr="00726078" w14:paraId="4A730B98" w14:textId="77777777" w:rsidTr="00065BFD">
        <w:trPr>
          <w:trHeight w:val="447"/>
        </w:trPr>
        <w:tc>
          <w:tcPr>
            <w:tcW w:w="9407" w:type="dxa"/>
            <w:shd w:val="clear" w:color="auto" w:fill="000000" w:themeFill="text1"/>
          </w:tcPr>
          <w:p w14:paraId="37D03AF8" w14:textId="77777777" w:rsidR="00546E27" w:rsidRPr="00726078" w:rsidRDefault="00546E27" w:rsidP="00065BFD">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546E27" w:rsidRPr="00726078" w14:paraId="2DE6670D" w14:textId="77777777" w:rsidTr="00065BFD">
        <w:trPr>
          <w:trHeight w:val="3422"/>
        </w:trPr>
        <w:tc>
          <w:tcPr>
            <w:tcW w:w="9407" w:type="dxa"/>
          </w:tcPr>
          <w:p w14:paraId="3A909558" w14:textId="77777777" w:rsidR="00546E27" w:rsidRPr="00EB6A30" w:rsidRDefault="00546E27" w:rsidP="00065BFD">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546E27" w:rsidRPr="00EB6A30" w14:paraId="5E54B62D" w14:textId="77777777" w:rsidTr="00065BFD">
              <w:trPr>
                <w:gridAfter w:val="1"/>
                <w:wAfter w:w="1035" w:type="dxa"/>
                <w:trHeight w:val="365"/>
              </w:trPr>
              <w:tc>
                <w:tcPr>
                  <w:tcW w:w="5522" w:type="dxa"/>
                  <w:gridSpan w:val="2"/>
                  <w:tcBorders>
                    <w:right w:val="single" w:sz="4" w:space="0" w:color="auto"/>
                  </w:tcBorders>
                </w:tcPr>
                <w:p w14:paraId="57BE239D" w14:textId="77777777" w:rsidR="00546E27" w:rsidRPr="00EB6A30" w:rsidRDefault="00546E27" w:rsidP="00065BFD">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469254A"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0C846E6"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24647883" w14:textId="77777777" w:rsidTr="00065BFD">
              <w:trPr>
                <w:gridAfter w:val="1"/>
                <w:wAfter w:w="1035" w:type="dxa"/>
                <w:trHeight w:val="491"/>
              </w:trPr>
              <w:tc>
                <w:tcPr>
                  <w:tcW w:w="5522" w:type="dxa"/>
                  <w:gridSpan w:val="2"/>
                  <w:tcBorders>
                    <w:right w:val="single" w:sz="4" w:space="0" w:color="auto"/>
                  </w:tcBorders>
                </w:tcPr>
                <w:p w14:paraId="72DDC744" w14:textId="77777777" w:rsidR="00546E27" w:rsidRPr="00EB6A30" w:rsidRDefault="00546E27" w:rsidP="00065BFD">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413283A0" w14:textId="3A206489" w:rsidR="00546E27" w:rsidRPr="00EB6A30" w:rsidRDefault="009F095B" w:rsidP="00065BFD">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49F057C8" w14:textId="1573E1C2" w:rsidR="00546E27" w:rsidRPr="00EB6A30" w:rsidRDefault="009F095B" w:rsidP="00065BFD">
                      <w:pPr>
                        <w:spacing w:before="60" w:after="60"/>
                        <w:jc w:val="center"/>
                        <w:rPr>
                          <w:rFonts w:ascii="Arial" w:hAnsi="Arial" w:cs="Arial"/>
                          <w:sz w:val="20"/>
                        </w:rPr>
                      </w:pPr>
                      <w:r>
                        <w:rPr>
                          <w:rFonts w:ascii="Arial" w:hAnsi="Arial" w:cs="Arial"/>
                          <w:sz w:val="20"/>
                        </w:rPr>
                        <w:sym w:font="Wingdings 2" w:char="F052"/>
                      </w:r>
                    </w:p>
                  </w:tc>
                </w:sdtContent>
              </w:sdt>
            </w:tr>
            <w:tr w:rsidR="00546E27" w:rsidRPr="00EB6A30" w14:paraId="0CC902D4" w14:textId="77777777" w:rsidTr="00065BFD">
              <w:trPr>
                <w:gridAfter w:val="1"/>
                <w:wAfter w:w="1035" w:type="dxa"/>
                <w:trHeight w:val="969"/>
              </w:trPr>
              <w:tc>
                <w:tcPr>
                  <w:tcW w:w="5522" w:type="dxa"/>
                  <w:gridSpan w:val="2"/>
                </w:tcPr>
                <w:p w14:paraId="3D6FFFCC" w14:textId="77777777" w:rsidR="00546E27" w:rsidRPr="00EB6A30" w:rsidRDefault="00546E27" w:rsidP="00065BFD">
                  <w:pPr>
                    <w:ind w:right="-3795"/>
                    <w:rPr>
                      <w:rFonts w:ascii="Arial" w:hAnsi="Arial" w:cs="Arial"/>
                      <w:sz w:val="20"/>
                    </w:rPr>
                  </w:pPr>
                </w:p>
                <w:p w14:paraId="0CB51685" w14:textId="62E7D698" w:rsidR="00546E27" w:rsidRPr="00EB6A30" w:rsidRDefault="00546E27" w:rsidP="00065BFD">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A2DA4E4" w14:textId="77777777" w:rsidR="00546E27" w:rsidRPr="00EB6A30" w:rsidRDefault="00546E27" w:rsidP="00065BFD">
                  <w:pPr>
                    <w:spacing w:before="60" w:after="60"/>
                    <w:ind w:left="1583"/>
                    <w:jc w:val="center"/>
                    <w:rPr>
                      <w:rFonts w:ascii="Arial" w:hAnsi="Arial" w:cs="Arial"/>
                      <w:b/>
                      <w:sz w:val="20"/>
                    </w:rPr>
                  </w:pPr>
                </w:p>
                <w:p w14:paraId="641B779F" w14:textId="77777777" w:rsidR="00546E27" w:rsidRPr="00EB6A30" w:rsidRDefault="00546E27" w:rsidP="00065BFD">
                  <w:pPr>
                    <w:spacing w:before="60" w:after="60"/>
                    <w:ind w:left="1583"/>
                    <w:jc w:val="center"/>
                    <w:rPr>
                      <w:rFonts w:ascii="Arial" w:hAnsi="Arial" w:cs="Arial"/>
                      <w:b/>
                      <w:sz w:val="20"/>
                    </w:rPr>
                  </w:pPr>
                </w:p>
              </w:tc>
            </w:tr>
            <w:tr w:rsidR="00546E27" w:rsidRPr="00EB6A30" w14:paraId="46169D93"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67E405B" w14:textId="77777777" w:rsidR="00546E27" w:rsidRPr="00EB6A30" w:rsidRDefault="00546E27" w:rsidP="00065BFD">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0477A586" w14:textId="77777777" w:rsidR="00546E27" w:rsidRPr="00EB6A30" w:rsidRDefault="00546E27" w:rsidP="00065BFD">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7D15BD93" w14:textId="77777777" w:rsidR="00546E27" w:rsidRPr="00EB6A30" w:rsidRDefault="00546E27" w:rsidP="00065BFD">
                  <w:pPr>
                    <w:jc w:val="center"/>
                    <w:rPr>
                      <w:rFonts w:ascii="Arial" w:hAnsi="Arial" w:cs="Arial"/>
                      <w:b/>
                      <w:sz w:val="20"/>
                    </w:rPr>
                  </w:pPr>
                  <w:r w:rsidRPr="00EB6A30">
                    <w:rPr>
                      <w:rFonts w:ascii="Arial" w:hAnsi="Arial" w:cs="Arial"/>
                      <w:b/>
                      <w:sz w:val="20"/>
                    </w:rPr>
                    <w:t>Local Content Threshold</w:t>
                  </w:r>
                </w:p>
              </w:tc>
            </w:tr>
            <w:tr w:rsidR="00546E27" w:rsidRPr="00EB6A30" w14:paraId="527F7ACB" w14:textId="77777777" w:rsidTr="00065B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6CA7DCE7" w14:textId="20285E82" w:rsidR="00546E27" w:rsidRPr="00C67975" w:rsidRDefault="009F095B" w:rsidP="004175E2">
                  <w:pPr>
                    <w:rPr>
                      <w:rFonts w:ascii="Arial" w:hAnsi="Arial" w:cs="Arial"/>
                      <w:sz w:val="20"/>
                    </w:rPr>
                  </w:pPr>
                  <w:r>
                    <w:rPr>
                      <w:rFonts w:ascii="Arial" w:hAnsi="Arial" w:cs="Arial"/>
                      <w:sz w:val="20"/>
                    </w:rPr>
                    <w:t>N/A</w:t>
                  </w:r>
                </w:p>
              </w:tc>
              <w:tc>
                <w:tcPr>
                  <w:tcW w:w="3057" w:type="dxa"/>
                  <w:gridSpan w:val="2"/>
                </w:tcPr>
                <w:p w14:paraId="7ED27536" w14:textId="72E24338" w:rsidR="00546E27" w:rsidRPr="00C67975" w:rsidRDefault="00546E27" w:rsidP="00F243F6">
                  <w:pPr>
                    <w:rPr>
                      <w:rFonts w:ascii="Arial" w:hAnsi="Arial" w:cs="Arial"/>
                      <w:sz w:val="20"/>
                    </w:rPr>
                  </w:pPr>
                </w:p>
              </w:tc>
              <w:tc>
                <w:tcPr>
                  <w:tcW w:w="3062" w:type="dxa"/>
                  <w:gridSpan w:val="3"/>
                </w:tcPr>
                <w:p w14:paraId="6AE79D03" w14:textId="19A8917E" w:rsidR="00546E27" w:rsidRPr="00C67975" w:rsidRDefault="00546E27" w:rsidP="00F243F6">
                  <w:pPr>
                    <w:rPr>
                      <w:rFonts w:ascii="Arial" w:hAnsi="Arial" w:cs="Arial"/>
                      <w:sz w:val="20"/>
                    </w:rPr>
                  </w:pPr>
                </w:p>
              </w:tc>
            </w:tr>
          </w:tbl>
          <w:p w14:paraId="7F969D93" w14:textId="77777777" w:rsidR="00546E27" w:rsidRDefault="00546E27" w:rsidP="00065BFD">
            <w:pPr>
              <w:spacing w:before="60" w:after="60" w:line="276" w:lineRule="auto"/>
              <w:rPr>
                <w:rFonts w:ascii="Arial" w:hAnsi="Arial" w:cs="Arial"/>
                <w:b/>
                <w:sz w:val="20"/>
              </w:rPr>
            </w:pPr>
          </w:p>
          <w:p w14:paraId="50281CD1" w14:textId="48C130B1" w:rsidR="00CA337A" w:rsidRPr="00726078" w:rsidRDefault="00546E27" w:rsidP="00065BFD">
            <w:pPr>
              <w:spacing w:before="60" w:after="60" w:line="276" w:lineRule="auto"/>
              <w:rPr>
                <w:rFonts w:ascii="Arial" w:hAnsi="Arial" w:cs="Arial"/>
                <w:sz w:val="20"/>
              </w:rPr>
            </w:pPr>
            <w:r w:rsidRPr="00F243F6">
              <w:rPr>
                <w:rFonts w:ascii="Arial" w:hAnsi="Arial" w:cs="Arial"/>
                <w:b/>
                <w:sz w:val="20"/>
              </w:rPr>
              <w:t>NOTE</w:t>
            </w:r>
            <w:r w:rsidRPr="00F243F6">
              <w:rPr>
                <w:rFonts w:ascii="Arial" w:hAnsi="Arial" w:cs="Arial"/>
                <w:sz w:val="20"/>
              </w:rPr>
              <w:t xml:space="preserve">: SBD 6.2 Declaration Form and Annex C (Local Content Declaration-Summary Schedule) are tender </w:t>
            </w:r>
            <w:r w:rsidR="00CA337A" w:rsidRPr="00F243F6">
              <w:rPr>
                <w:rFonts w:ascii="Arial" w:hAnsi="Arial" w:cs="Arial"/>
                <w:sz w:val="20"/>
              </w:rPr>
              <w:t>returnable</w:t>
            </w:r>
            <w:r w:rsidRPr="00F243F6">
              <w:rPr>
                <w:rFonts w:ascii="Arial" w:hAnsi="Arial" w:cs="Arial"/>
                <w:sz w:val="20"/>
              </w:rPr>
              <w:t xml:space="preserve"> if applicable.</w:t>
            </w:r>
          </w:p>
        </w:tc>
      </w:tr>
    </w:tbl>
    <w:p w14:paraId="1786B85B" w14:textId="441F57AD" w:rsidR="00546E27" w:rsidRPr="00816D48" w:rsidRDefault="006F7826" w:rsidP="00546E27">
      <w:pPr>
        <w:spacing w:before="240" w:after="120" w:line="276" w:lineRule="auto"/>
        <w:rPr>
          <w:rFonts w:ascii="Arial" w:hAnsi="Arial" w:cs="Arial"/>
          <w:b/>
          <w:sz w:val="22"/>
        </w:rPr>
      </w:pPr>
      <w:r>
        <w:rPr>
          <w:rFonts w:ascii="Arial" w:hAnsi="Arial" w:cs="Arial"/>
          <w:b/>
          <w:sz w:val="22"/>
        </w:rPr>
        <w:t>2</w:t>
      </w:r>
      <w:r w:rsidR="00546E27">
        <w:rPr>
          <w:rFonts w:ascii="Arial" w:hAnsi="Arial" w:cs="Arial"/>
          <w:b/>
          <w:sz w:val="22"/>
        </w:rPr>
        <w:t xml:space="preserve">.2 </w:t>
      </w:r>
      <w:r w:rsidR="00546E2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546E27" w:rsidRPr="00726078" w14:paraId="15C6F068" w14:textId="77777777" w:rsidTr="00065BFD">
        <w:tc>
          <w:tcPr>
            <w:tcW w:w="9016" w:type="dxa"/>
            <w:shd w:val="clear" w:color="auto" w:fill="000000" w:themeFill="text1"/>
          </w:tcPr>
          <w:p w14:paraId="265B4085" w14:textId="77777777" w:rsidR="00546E27" w:rsidRPr="00EB6A30" w:rsidRDefault="00546E27" w:rsidP="00065BFD">
            <w:pPr>
              <w:tabs>
                <w:tab w:val="left" w:pos="720"/>
              </w:tabs>
              <w:jc w:val="both"/>
              <w:rPr>
                <w:rFonts w:ascii="Arial" w:hAnsi="Arial" w:cs="Arial"/>
                <w:b/>
                <w:sz w:val="20"/>
              </w:rPr>
            </w:pPr>
            <w:r w:rsidRPr="00EB6A30">
              <w:rPr>
                <w:rFonts w:ascii="Arial" w:hAnsi="Arial" w:cs="Arial"/>
                <w:b/>
                <w:sz w:val="20"/>
              </w:rPr>
              <w:t>Continuation of Mandatory Requirements</w:t>
            </w:r>
          </w:p>
        </w:tc>
      </w:tr>
      <w:tr w:rsidR="00546E27" w:rsidRPr="00726078" w14:paraId="372F4DC5" w14:textId="77777777" w:rsidTr="00065BFD">
        <w:tc>
          <w:tcPr>
            <w:tcW w:w="9016" w:type="dxa"/>
          </w:tcPr>
          <w:p w14:paraId="0C018134" w14:textId="77777777" w:rsidR="00546E27" w:rsidRPr="00EB6A30" w:rsidRDefault="00546E27" w:rsidP="00065BFD">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546E27" w:rsidRPr="00EB6A30" w14:paraId="3D2B08B2" w14:textId="77777777" w:rsidTr="00065BFD">
              <w:tc>
                <w:tcPr>
                  <w:tcW w:w="5680" w:type="dxa"/>
                  <w:tcBorders>
                    <w:right w:val="single" w:sz="4" w:space="0" w:color="auto"/>
                  </w:tcBorders>
                </w:tcPr>
                <w:p w14:paraId="30C65CF1" w14:textId="77777777" w:rsidR="00546E27" w:rsidRPr="00EB6A30" w:rsidRDefault="00546E27" w:rsidP="00065BFD">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E8541B"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FEF5F62" w14:textId="77777777" w:rsidR="00546E27" w:rsidRPr="00EB6A30" w:rsidRDefault="00546E27" w:rsidP="00065BFD">
                  <w:pPr>
                    <w:spacing w:before="60" w:after="60"/>
                    <w:jc w:val="center"/>
                    <w:rPr>
                      <w:rFonts w:ascii="Arial" w:hAnsi="Arial" w:cs="Arial"/>
                      <w:b/>
                      <w:sz w:val="20"/>
                    </w:rPr>
                  </w:pPr>
                  <w:r w:rsidRPr="00EB6A30">
                    <w:rPr>
                      <w:rFonts w:ascii="Arial" w:hAnsi="Arial" w:cs="Arial"/>
                      <w:b/>
                      <w:sz w:val="20"/>
                    </w:rPr>
                    <w:t>NO</w:t>
                  </w:r>
                </w:p>
              </w:tc>
            </w:tr>
            <w:tr w:rsidR="00546E27" w:rsidRPr="00EB6A30" w14:paraId="75B0DD80" w14:textId="77777777" w:rsidTr="00065BFD">
              <w:tc>
                <w:tcPr>
                  <w:tcW w:w="5680" w:type="dxa"/>
                  <w:tcBorders>
                    <w:right w:val="single" w:sz="4" w:space="0" w:color="auto"/>
                  </w:tcBorders>
                </w:tcPr>
                <w:p w14:paraId="36F96331" w14:textId="77777777" w:rsidR="00546E27" w:rsidRPr="00EB6A30" w:rsidRDefault="00546E27" w:rsidP="00065BFD">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85F1011" w14:textId="77777777" w:rsidR="00546E27" w:rsidRPr="00EB6A30" w:rsidRDefault="00546E27" w:rsidP="00065BFD">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1F817AC" w14:textId="77777777" w:rsidR="00546E27" w:rsidRPr="00EB6A30" w:rsidRDefault="00546E27" w:rsidP="00065BFD">
                      <w:pPr>
                        <w:spacing w:before="60" w:after="60"/>
                        <w:jc w:val="center"/>
                        <w:rPr>
                          <w:rFonts w:ascii="Arial" w:hAnsi="Arial" w:cs="Arial"/>
                          <w:sz w:val="20"/>
                        </w:rPr>
                      </w:pPr>
                      <w:r>
                        <w:rPr>
                          <w:rFonts w:ascii="Arial" w:hAnsi="Arial" w:cs="Arial"/>
                          <w:sz w:val="20"/>
                        </w:rPr>
                        <w:sym w:font="Wingdings 2" w:char="F052"/>
                      </w:r>
                    </w:p>
                  </w:tc>
                </w:sdtContent>
              </w:sdt>
            </w:tr>
            <w:tr w:rsidR="00546E27" w:rsidRPr="00EB6A30" w14:paraId="4FBF4B85" w14:textId="77777777" w:rsidTr="00065BFD">
              <w:tc>
                <w:tcPr>
                  <w:tcW w:w="5680" w:type="dxa"/>
                  <w:tcBorders>
                    <w:right w:val="single" w:sz="4" w:space="0" w:color="auto"/>
                  </w:tcBorders>
                </w:tcPr>
                <w:p w14:paraId="1D2E644C" w14:textId="2D36B4AD" w:rsidR="00546E27" w:rsidRPr="00EB6A30" w:rsidRDefault="00546E27" w:rsidP="00065BFD">
                  <w:pPr>
                    <w:rPr>
                      <w:rFonts w:ascii="Arial" w:hAnsi="Arial" w:cs="Arial"/>
                      <w:sz w:val="20"/>
                    </w:rPr>
                  </w:pPr>
                  <w:r w:rsidRPr="00EB6A30">
                    <w:rPr>
                      <w:rFonts w:ascii="Arial" w:hAnsi="Arial" w:cs="Arial"/>
                      <w:sz w:val="20"/>
                    </w:rPr>
                    <w:t xml:space="preserve">If </w:t>
                  </w:r>
                  <w:r w:rsidR="004E796C" w:rsidRPr="00EB6A30">
                    <w:rPr>
                      <w:rFonts w:ascii="Arial" w:hAnsi="Arial" w:cs="Arial"/>
                      <w:i/>
                      <w:sz w:val="20"/>
                    </w:rPr>
                    <w:t>Yes,</w:t>
                  </w:r>
                  <w:r w:rsidR="004E796C" w:rsidRPr="00EB6A30">
                    <w:rPr>
                      <w:rFonts w:ascii="Arial" w:hAnsi="Arial" w:cs="Arial"/>
                      <w:sz w:val="20"/>
                    </w:rPr>
                    <w:t xml:space="preserve"> what</w:t>
                  </w:r>
                  <w:r w:rsidRPr="00EB6A30">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17CA8790" w14:textId="77777777" w:rsidR="00546E27" w:rsidRPr="00845A4B" w:rsidRDefault="00546E27" w:rsidP="00065BFD">
                  <w:pPr>
                    <w:spacing w:before="60" w:after="60"/>
                    <w:jc w:val="center"/>
                    <w:rPr>
                      <w:rFonts w:ascii="Arial" w:hAnsi="Arial" w:cs="Arial"/>
                      <w:b/>
                      <w:sz w:val="20"/>
                    </w:rPr>
                  </w:pPr>
                  <w:r w:rsidRPr="00845A4B">
                    <w:rPr>
                      <w:rFonts w:ascii="Arial" w:hAnsi="Arial" w:cs="Arial"/>
                      <w:b/>
                      <w:sz w:val="20"/>
                    </w:rPr>
                    <w:t>Not applicable</w:t>
                  </w:r>
                </w:p>
              </w:tc>
            </w:tr>
            <w:tr w:rsidR="00546E27" w:rsidRPr="00EB6A30" w14:paraId="522B45E0" w14:textId="77777777" w:rsidTr="00065BFD">
              <w:tc>
                <w:tcPr>
                  <w:tcW w:w="5680" w:type="dxa"/>
                </w:tcPr>
                <w:p w14:paraId="78C10D99" w14:textId="77777777" w:rsidR="00546E27" w:rsidRPr="00EB6A30" w:rsidRDefault="00546E27" w:rsidP="00065BFD">
                  <w:pPr>
                    <w:ind w:left="426"/>
                    <w:jc w:val="center"/>
                    <w:rPr>
                      <w:rFonts w:ascii="Arial" w:hAnsi="Arial" w:cs="Arial"/>
                      <w:sz w:val="20"/>
                    </w:rPr>
                  </w:pPr>
                </w:p>
              </w:tc>
              <w:tc>
                <w:tcPr>
                  <w:tcW w:w="2694" w:type="dxa"/>
                  <w:gridSpan w:val="2"/>
                  <w:tcBorders>
                    <w:top w:val="single" w:sz="4" w:space="0" w:color="auto"/>
                  </w:tcBorders>
                </w:tcPr>
                <w:p w14:paraId="21339015" w14:textId="77777777" w:rsidR="00546E27" w:rsidRPr="00EB6A30" w:rsidRDefault="00546E27" w:rsidP="00065BFD">
                  <w:pPr>
                    <w:spacing w:before="60" w:after="60"/>
                    <w:jc w:val="center"/>
                    <w:rPr>
                      <w:rFonts w:ascii="Arial" w:hAnsi="Arial" w:cs="Arial"/>
                      <w:b/>
                      <w:sz w:val="20"/>
                    </w:rPr>
                  </w:pPr>
                </w:p>
              </w:tc>
            </w:tr>
          </w:tbl>
          <w:p w14:paraId="612490D1" w14:textId="77777777" w:rsidR="00546E27" w:rsidRPr="00EB6A30" w:rsidRDefault="00546E27" w:rsidP="00065BFD">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546E27" w:rsidRPr="00EB6A30" w14:paraId="063F3314" w14:textId="77777777" w:rsidTr="00065BFD">
              <w:tc>
                <w:tcPr>
                  <w:tcW w:w="2930" w:type="dxa"/>
                  <w:shd w:val="clear" w:color="auto" w:fill="D9D9D9" w:themeFill="background1" w:themeFillShade="D9"/>
                </w:tcPr>
                <w:p w14:paraId="52D49816" w14:textId="77777777" w:rsidR="00546E27" w:rsidRPr="00EB6A30" w:rsidRDefault="00546E27" w:rsidP="00065BFD">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40DB6EFD" w14:textId="77777777" w:rsidR="00546E27" w:rsidRPr="00EB6A30" w:rsidRDefault="00546E27" w:rsidP="00065BFD">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3D3DC870" w14:textId="77777777" w:rsidR="00546E27" w:rsidRPr="00EB6A30" w:rsidRDefault="00546E27" w:rsidP="00065BFD">
                  <w:pPr>
                    <w:rPr>
                      <w:rFonts w:ascii="Arial" w:hAnsi="Arial" w:cs="Arial"/>
                      <w:b/>
                      <w:sz w:val="20"/>
                    </w:rPr>
                  </w:pPr>
                  <w:r w:rsidRPr="00EB6A30">
                    <w:rPr>
                      <w:rFonts w:ascii="Arial" w:hAnsi="Arial" w:cs="Arial"/>
                      <w:b/>
                      <w:sz w:val="20"/>
                    </w:rPr>
                    <w:t>Tenderer Commitment</w:t>
                  </w:r>
                </w:p>
              </w:tc>
            </w:tr>
            <w:tr w:rsidR="00546E27" w:rsidRPr="00EB6A30" w14:paraId="52B5256B" w14:textId="77777777" w:rsidTr="00065BFD">
              <w:tc>
                <w:tcPr>
                  <w:tcW w:w="2930" w:type="dxa"/>
                </w:tcPr>
                <w:p w14:paraId="41973732" w14:textId="77777777" w:rsidR="00546E27" w:rsidRPr="00EB6A30" w:rsidRDefault="00546E27" w:rsidP="00065BFD">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612D4417" w14:textId="77777777" w:rsidR="00546E27" w:rsidRPr="00EB6A30" w:rsidRDefault="00546E27" w:rsidP="00065BFD">
                  <w:pPr>
                    <w:spacing w:before="60" w:after="60"/>
                    <w:rPr>
                      <w:rFonts w:ascii="Arial" w:hAnsi="Arial" w:cs="Arial"/>
                      <w:sz w:val="20"/>
                    </w:rPr>
                  </w:pPr>
                  <w:r>
                    <w:rPr>
                      <w:rFonts w:ascii="Arial" w:hAnsi="Arial" w:cs="Arial"/>
                      <w:sz w:val="20"/>
                    </w:rPr>
                    <w:t>N/A</w:t>
                  </w:r>
                </w:p>
              </w:tc>
              <w:tc>
                <w:tcPr>
                  <w:tcW w:w="2930" w:type="dxa"/>
                </w:tcPr>
                <w:p w14:paraId="209A18C6" w14:textId="77777777" w:rsidR="00546E27" w:rsidRPr="00EB6A30" w:rsidRDefault="00546E27" w:rsidP="00065BFD">
                  <w:pPr>
                    <w:spacing w:before="60" w:after="60"/>
                    <w:rPr>
                      <w:rFonts w:ascii="Arial" w:hAnsi="Arial" w:cs="Arial"/>
                      <w:sz w:val="20"/>
                    </w:rPr>
                  </w:pPr>
                </w:p>
              </w:tc>
            </w:tr>
            <w:tr w:rsidR="00546E27" w:rsidRPr="00EB6A30" w14:paraId="3B14949B" w14:textId="77777777" w:rsidTr="00065BFD">
              <w:tc>
                <w:tcPr>
                  <w:tcW w:w="2930" w:type="dxa"/>
                </w:tcPr>
                <w:p w14:paraId="0A694A46" w14:textId="77777777" w:rsidR="00546E27" w:rsidRPr="00EB6A30" w:rsidRDefault="00546E27" w:rsidP="00065BFD">
                  <w:pPr>
                    <w:tabs>
                      <w:tab w:val="left" w:pos="720"/>
                    </w:tabs>
                    <w:jc w:val="both"/>
                    <w:rPr>
                      <w:rFonts w:ascii="Arial" w:hAnsi="Arial" w:cs="Arial"/>
                      <w:sz w:val="20"/>
                    </w:rPr>
                  </w:pPr>
                  <w:r w:rsidRPr="00EB6A30">
                    <w:rPr>
                      <w:rFonts w:ascii="Arial" w:hAnsi="Arial" w:cs="Arial"/>
                      <w:sz w:val="20"/>
                    </w:rPr>
                    <w:t>Description</w:t>
                  </w:r>
                </w:p>
              </w:tc>
              <w:tc>
                <w:tcPr>
                  <w:tcW w:w="2930" w:type="dxa"/>
                </w:tcPr>
                <w:p w14:paraId="04530F17" w14:textId="77777777" w:rsidR="00546E27" w:rsidRPr="00EB6A30" w:rsidRDefault="00546E27" w:rsidP="00065BFD">
                  <w:pPr>
                    <w:spacing w:before="60" w:after="60"/>
                    <w:rPr>
                      <w:rFonts w:ascii="Arial" w:hAnsi="Arial" w:cs="Arial"/>
                      <w:sz w:val="20"/>
                    </w:rPr>
                  </w:pPr>
                  <w:r w:rsidRPr="00EB6A30">
                    <w:rPr>
                      <w:rFonts w:ascii="Arial" w:hAnsi="Arial" w:cs="Arial"/>
                      <w:sz w:val="20"/>
                    </w:rPr>
                    <w:t>N/A</w:t>
                  </w:r>
                </w:p>
              </w:tc>
              <w:tc>
                <w:tcPr>
                  <w:tcW w:w="2930" w:type="dxa"/>
                </w:tcPr>
                <w:p w14:paraId="0176868E" w14:textId="77777777" w:rsidR="00546E27" w:rsidRPr="00EB6A30" w:rsidRDefault="00546E27" w:rsidP="00065BFD">
                  <w:pPr>
                    <w:spacing w:before="60" w:after="60"/>
                    <w:rPr>
                      <w:rFonts w:ascii="Arial" w:hAnsi="Arial" w:cs="Arial"/>
                      <w:sz w:val="20"/>
                    </w:rPr>
                  </w:pPr>
                </w:p>
              </w:tc>
            </w:tr>
          </w:tbl>
          <w:p w14:paraId="1F95DFCB" w14:textId="77777777" w:rsidR="00546E27" w:rsidRPr="00EB6A30" w:rsidRDefault="00546E27" w:rsidP="00065BFD">
            <w:pPr>
              <w:spacing w:before="60" w:after="60" w:line="276" w:lineRule="auto"/>
              <w:rPr>
                <w:rFonts w:ascii="Arial" w:hAnsi="Arial" w:cs="Arial"/>
                <w:sz w:val="20"/>
              </w:rPr>
            </w:pPr>
          </w:p>
          <w:p w14:paraId="53B739C0" w14:textId="77777777" w:rsidR="00546E27" w:rsidRPr="00EB6A30" w:rsidRDefault="00546E27" w:rsidP="00065BFD">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Failure by the Contractor/Service Provider/Supplier to meet the CIDB CSDG mandatory % will render their tender non-responsive.</w:t>
            </w:r>
          </w:p>
        </w:tc>
      </w:tr>
    </w:tbl>
    <w:p w14:paraId="4F5BEB34" w14:textId="77777777" w:rsidR="00F243F6" w:rsidRDefault="00F243F6" w:rsidP="00203FB8">
      <w:pPr>
        <w:spacing w:after="200" w:line="276" w:lineRule="auto"/>
        <w:rPr>
          <w:rFonts w:ascii="Arial" w:hAnsi="Arial" w:cs="Arial"/>
          <w:bCs/>
          <w:sz w:val="16"/>
          <w:szCs w:val="16"/>
        </w:rPr>
      </w:pPr>
    </w:p>
    <w:p w14:paraId="3163EC55" w14:textId="51A2030D" w:rsidR="00203FB8" w:rsidRPr="003953B4" w:rsidRDefault="00203FB8" w:rsidP="00203FB8">
      <w:pPr>
        <w:spacing w:after="200" w:line="276" w:lineRule="auto"/>
        <w:rPr>
          <w:rFonts w:ascii="Arial" w:hAnsi="Arial" w:cs="Arial"/>
          <w:b/>
          <w:bCs/>
          <w:color w:val="000000" w:themeColor="text1"/>
          <w:sz w:val="20"/>
          <w:u w:val="single"/>
          <w:lang w:val="en-GB"/>
        </w:rPr>
      </w:pPr>
      <w:r>
        <w:rPr>
          <w:rFonts w:ascii="Arial" w:hAnsi="Arial" w:cs="Arial"/>
          <w:b/>
          <w:sz w:val="20"/>
        </w:rPr>
        <w:t xml:space="preserve">2.3 </w:t>
      </w:r>
      <w:r w:rsidRPr="003953B4">
        <w:rPr>
          <w:rFonts w:ascii="Arial" w:hAnsi="Arial" w:cs="Arial"/>
          <w:b/>
          <w:bCs/>
          <w:color w:val="000000" w:themeColor="text1"/>
          <w:sz w:val="20"/>
          <w:u w:val="single"/>
          <w:lang w:val="en-GB"/>
        </w:rPr>
        <w:t>National Industrial Participation Programme</w:t>
      </w:r>
    </w:p>
    <w:p w14:paraId="616E4C33" w14:textId="77777777" w:rsidR="00203FB8" w:rsidRPr="003953B4" w:rsidRDefault="00203FB8" w:rsidP="005B5A73">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 xml:space="preserve">Eskom will implement the NIPP requirement, which determines that the contractor/supplier must contact the Department of Trade, Industry and Competition (dtic) to arrange for support and development of </w:t>
      </w:r>
      <w:r w:rsidRPr="003953B4">
        <w:rPr>
          <w:rFonts w:ascii="Arial" w:hAnsi="Arial" w:cs="Arial"/>
          <w:color w:val="000000" w:themeColor="text1"/>
          <w:sz w:val="20"/>
          <w:lang w:val="en-GB"/>
        </w:rPr>
        <w:lastRenderedPageBreak/>
        <w:t>local businesses. Eskom is required to inform the tenderers of this requirement. NIPP will only be applicable for contracts with an FGN component or content of USD 5 million or more.</w:t>
      </w:r>
    </w:p>
    <w:p w14:paraId="5F6E19C4" w14:textId="77777777" w:rsidR="00203FB8" w:rsidRPr="003953B4" w:rsidRDefault="00203FB8" w:rsidP="005B5A73">
      <w:pPr>
        <w:spacing w:after="200" w:line="276" w:lineRule="auto"/>
        <w:jc w:val="both"/>
        <w:rPr>
          <w:rFonts w:ascii="Arial" w:hAnsi="Arial" w:cs="Arial"/>
          <w:color w:val="000000" w:themeColor="text1"/>
          <w:sz w:val="20"/>
          <w:u w:val="single"/>
          <w:lang w:val="en-GB"/>
        </w:rPr>
      </w:pPr>
      <w:r w:rsidRPr="003953B4">
        <w:rPr>
          <w:rFonts w:ascii="Arial" w:hAnsi="Arial" w:cs="Arial"/>
          <w:color w:val="000000" w:themeColor="text1"/>
          <w:sz w:val="20"/>
          <w:u w:val="single"/>
          <w:lang w:val="en-GB"/>
        </w:rPr>
        <w:t>The following narrative must be captured in all tenders that have import/foreign content equal to or in excess of USD 5 million:</w:t>
      </w:r>
    </w:p>
    <w:p w14:paraId="1DDF5ADB" w14:textId="77777777" w:rsidR="00203FB8" w:rsidRPr="003953B4" w:rsidRDefault="00203FB8" w:rsidP="005B5A73">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 xml:space="preserve">“NIPP is a programme that seeks to leverage economic benefits and support the development of South African industry by effectively utilising the instrument of government procurement. The NIPP programme is mandatory for all government and parastatal purchases or lease contracts (goods and services) with an imported content equal to or exceeding USD 5 million. </w:t>
      </w:r>
    </w:p>
    <w:p w14:paraId="1CAD578E" w14:textId="77777777" w:rsidR="00203FB8" w:rsidRPr="003953B4" w:rsidRDefault="00203FB8" w:rsidP="005B5A73">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4104ADD0" w14:textId="77777777" w:rsidR="00203FB8" w:rsidRPr="003953B4" w:rsidRDefault="00203FB8" w:rsidP="005B5A73">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“Companies with an NIPP obligation must sign this obligation agreement with the Department of Trade, Industry and Competition (dtic) before the contract with Eskom Holdings SOC Ltd, as a purchasing entity, is signed. The obligation agreement governs the relationship between the dtic and the supplier. It defines the NIPP obligation value(s), requirements to fulfil the NIPP obligation, performance milestones, performance monitoring processes, and the NIPP credit allocation criteria.</w:t>
      </w:r>
    </w:p>
    <w:p w14:paraId="6B8CEC7C" w14:textId="77777777" w:rsidR="00203FB8" w:rsidRPr="003953B4" w:rsidRDefault="00203FB8" w:rsidP="005B5A73">
      <w:pPr>
        <w:spacing w:after="200" w:line="276" w:lineRule="auto"/>
        <w:jc w:val="both"/>
        <w:rPr>
          <w:rFonts w:ascii="Arial" w:hAnsi="Arial" w:cs="Arial"/>
          <w:color w:val="000000" w:themeColor="text1"/>
          <w:sz w:val="20"/>
          <w:lang w:val="en-GB"/>
        </w:rPr>
      </w:pPr>
      <w:r w:rsidRPr="003953B4">
        <w:rPr>
          <w:rFonts w:ascii="Arial" w:hAnsi="Arial" w:cs="Arial"/>
          <w:color w:val="000000" w:themeColor="text1"/>
          <w:sz w:val="20"/>
          <w:lang w:val="en-GB"/>
        </w:rPr>
        <w:t>“All tenders with an import content that is equal to or exceeds the threshold of USD 5 million compels the winning bidder to negotiate and enter into a NIPP obligation agreement with the dtic before signing the contract with Eskom.”.</w:t>
      </w:r>
    </w:p>
    <w:p w14:paraId="0484581A" w14:textId="3EE08066"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2"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2"/>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546E27" w:rsidRPr="000C5130" w14:paraId="61CC959F" w14:textId="77777777" w:rsidTr="00065BFD">
        <w:trPr>
          <w:trHeight w:val="2424"/>
        </w:trPr>
        <w:tc>
          <w:tcPr>
            <w:tcW w:w="9016" w:type="dxa"/>
            <w:shd w:val="clear" w:color="auto" w:fill="FFFFFF" w:themeFill="background1"/>
          </w:tcPr>
          <w:p w14:paraId="38C567E2" w14:textId="00AA625A" w:rsidR="00E855AE" w:rsidRDefault="00E855AE" w:rsidP="00E855AE">
            <w:pPr>
              <w:tabs>
                <w:tab w:val="left" w:pos="720"/>
              </w:tabs>
              <w:spacing w:line="360" w:lineRule="auto"/>
              <w:jc w:val="both"/>
              <w:rPr>
                <w:rFonts w:ascii="Arial" w:hAnsi="Arial" w:cs="Arial"/>
                <w:sz w:val="20"/>
              </w:rPr>
            </w:pPr>
          </w:p>
          <w:p w14:paraId="3635C39E" w14:textId="7B2A5EFC" w:rsidR="00E855AE" w:rsidRPr="00B11F74" w:rsidRDefault="00E855AE" w:rsidP="00E855AE">
            <w:pPr>
              <w:tabs>
                <w:tab w:val="left" w:pos="720"/>
              </w:tabs>
              <w:spacing w:line="360"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479E6774" w14:textId="77777777" w:rsidR="00E855AE"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633D24BC" w14:textId="77777777" w:rsidR="004175E2" w:rsidRPr="00DD747B" w:rsidRDefault="004175E2" w:rsidP="00E855AE">
            <w:pPr>
              <w:pStyle w:val="ListParagraph"/>
              <w:spacing w:after="200" w:line="360" w:lineRule="auto"/>
              <w:ind w:left="0"/>
              <w:jc w:val="both"/>
              <w:rPr>
                <w:rFonts w:ascii="Arial" w:eastAsiaTheme="minorHAnsi" w:hAnsi="Arial" w:cs="Arial"/>
                <w:sz w:val="20"/>
              </w:rPr>
            </w:pPr>
          </w:p>
          <w:p w14:paraId="79177451" w14:textId="77777777" w:rsidR="00E855AE"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7BCB72DD" w14:textId="77777777" w:rsidR="004175E2" w:rsidRPr="00DD747B" w:rsidRDefault="004175E2" w:rsidP="00E855AE">
            <w:pPr>
              <w:pStyle w:val="ListParagraph"/>
              <w:spacing w:after="200" w:line="360" w:lineRule="auto"/>
              <w:ind w:left="0"/>
              <w:jc w:val="both"/>
              <w:rPr>
                <w:rFonts w:ascii="Arial" w:hAnsi="Arial" w:cs="Arial"/>
                <w:sz w:val="20"/>
              </w:rPr>
            </w:pPr>
          </w:p>
          <w:p w14:paraId="1DF143F6"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w:t>
            </w:r>
            <w:r w:rsidRPr="00DD747B">
              <w:rPr>
                <w:rFonts w:ascii="Arial" w:hAnsi="Arial" w:cs="Arial"/>
                <w:sz w:val="20"/>
              </w:rPr>
              <w:lastRenderedPageBreak/>
              <w:t xml:space="preserve">award, shall migrate and achieve as a non-negotiable a milestone of B-BBEE Level 3 by the end of the first year of the contract and thereafter improve their B-BBEE status level or migrate by one level higher. </w:t>
            </w:r>
          </w:p>
          <w:p w14:paraId="4BC904D7"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CB8917"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0572128"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9FC149"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00C711D9" w14:textId="77777777" w:rsidR="00E855AE" w:rsidRPr="00DD747B" w:rsidRDefault="00E855AE" w:rsidP="00E855AE">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4BED403A" w14:textId="429F5C87"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u w:val="single"/>
                <w:lang w:val="en-ZA"/>
              </w:rPr>
            </w:pPr>
            <w:r w:rsidRPr="00E855AE">
              <w:rPr>
                <w:rFonts w:ascii="Arial" w:hAnsi="Arial" w:cs="Arial"/>
                <w:b/>
                <w:sz w:val="20"/>
                <w:u w:val="single"/>
                <w:lang w:val="en-ZA"/>
              </w:rPr>
              <w:t xml:space="preserve">Local Procurement Content </w:t>
            </w:r>
          </w:p>
          <w:p w14:paraId="67C5D13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065BFD">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065BF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065BFD">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065BFD">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065BFD">
                  <w:pPr>
                    <w:spacing w:line="276" w:lineRule="auto"/>
                    <w:jc w:val="center"/>
                    <w:rPr>
                      <w:rFonts w:ascii="Arial" w:hAnsi="Arial" w:cs="Arial"/>
                      <w:b/>
                      <w:sz w:val="20"/>
                    </w:rPr>
                  </w:pPr>
                  <w:r>
                    <w:rPr>
                      <w:rFonts w:ascii="Arial" w:hAnsi="Arial" w:cs="Arial"/>
                      <w:b/>
                      <w:sz w:val="20"/>
                    </w:rPr>
                    <w:t>Tenderer Proposal</w:t>
                  </w:r>
                </w:p>
              </w:tc>
            </w:tr>
            <w:tr w:rsidR="00546E27" w14:paraId="128FE3EC" w14:textId="77777777" w:rsidTr="00065BF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065BFD">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065BFD">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065BFD">
                  <w:pPr>
                    <w:spacing w:line="276" w:lineRule="auto"/>
                    <w:jc w:val="both"/>
                    <w:rPr>
                      <w:rFonts w:ascii="Arial" w:hAnsi="Arial" w:cs="Arial"/>
                      <w:sz w:val="20"/>
                    </w:rPr>
                  </w:pPr>
                </w:p>
              </w:tc>
            </w:tr>
          </w:tbl>
          <w:p w14:paraId="352790AE" w14:textId="77777777" w:rsidR="00546E27" w:rsidRDefault="00546E27" w:rsidP="00065BFD">
            <w:pPr>
              <w:tabs>
                <w:tab w:val="left" w:pos="720"/>
              </w:tabs>
              <w:spacing w:line="360" w:lineRule="auto"/>
              <w:ind w:left="360"/>
              <w:jc w:val="both"/>
              <w:rPr>
                <w:rFonts w:ascii="Arial" w:hAnsi="Arial" w:cs="Arial"/>
                <w:b/>
                <w:sz w:val="20"/>
                <w:lang w:val="en-ZA"/>
              </w:rPr>
            </w:pPr>
          </w:p>
          <w:p w14:paraId="3C592E28" w14:textId="602ED63F"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lang w:val="en-ZA"/>
              </w:rPr>
            </w:pPr>
            <w:r w:rsidRPr="00E855AE">
              <w:rPr>
                <w:rFonts w:ascii="Arial" w:hAnsi="Arial" w:cs="Arial"/>
                <w:b/>
                <w:sz w:val="20"/>
                <w:lang w:val="en-ZA"/>
              </w:rPr>
              <w:t>Jobs.</w:t>
            </w:r>
            <w:r w:rsidRPr="00E855AE">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444C7FC2" w14:textId="77777777" w:rsidR="00546E27" w:rsidRPr="00FA31B2" w:rsidRDefault="00546E27" w:rsidP="00065BFD">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546E27" w:rsidRPr="000C5130" w14:paraId="441223EB" w14:textId="77777777" w:rsidTr="00065BFD">
              <w:trPr>
                <w:trHeight w:val="341"/>
              </w:trPr>
              <w:tc>
                <w:tcPr>
                  <w:tcW w:w="3676" w:type="dxa"/>
                  <w:shd w:val="clear" w:color="auto" w:fill="D9D9D9" w:themeFill="background1" w:themeFillShade="D9"/>
                </w:tcPr>
                <w:p w14:paraId="45CE1D67"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F4ACFC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46E27" w:rsidRPr="000C5130" w14:paraId="7586C167" w14:textId="77777777" w:rsidTr="00065BFD">
              <w:trPr>
                <w:trHeight w:val="359"/>
              </w:trPr>
              <w:tc>
                <w:tcPr>
                  <w:tcW w:w="3676" w:type="dxa"/>
                  <w:shd w:val="clear" w:color="auto" w:fill="auto"/>
                </w:tcPr>
                <w:p w14:paraId="06F8B64E" w14:textId="77777777" w:rsidR="00546E27" w:rsidRPr="000C5130" w:rsidRDefault="00546E27" w:rsidP="00065BFD">
                  <w:pPr>
                    <w:tabs>
                      <w:tab w:val="left" w:pos="720"/>
                    </w:tabs>
                    <w:spacing w:line="276" w:lineRule="auto"/>
                    <w:jc w:val="both"/>
                    <w:rPr>
                      <w:rFonts w:ascii="Arial" w:hAnsi="Arial" w:cs="Arial"/>
                      <w:sz w:val="20"/>
                    </w:rPr>
                  </w:pPr>
                </w:p>
              </w:tc>
              <w:tc>
                <w:tcPr>
                  <w:tcW w:w="3676" w:type="dxa"/>
                  <w:shd w:val="clear" w:color="auto" w:fill="auto"/>
                </w:tcPr>
                <w:p w14:paraId="0E769034" w14:textId="77777777" w:rsidR="00546E27" w:rsidRPr="000C5130" w:rsidRDefault="00546E27" w:rsidP="00065BFD">
                  <w:pPr>
                    <w:tabs>
                      <w:tab w:val="left" w:pos="720"/>
                    </w:tabs>
                    <w:spacing w:line="276" w:lineRule="auto"/>
                    <w:jc w:val="both"/>
                    <w:rPr>
                      <w:rFonts w:ascii="Arial" w:hAnsi="Arial" w:cs="Arial"/>
                      <w:sz w:val="20"/>
                    </w:rPr>
                  </w:pPr>
                </w:p>
              </w:tc>
            </w:tr>
          </w:tbl>
          <w:p w14:paraId="4DB67431" w14:textId="77777777" w:rsidR="00546E27" w:rsidRDefault="00546E27" w:rsidP="00065BFD">
            <w:pPr>
              <w:tabs>
                <w:tab w:val="left" w:pos="720"/>
              </w:tabs>
              <w:spacing w:line="360" w:lineRule="auto"/>
              <w:ind w:left="360"/>
              <w:jc w:val="both"/>
              <w:rPr>
                <w:rFonts w:ascii="Arial" w:hAnsi="Arial" w:cs="Arial"/>
                <w:b/>
                <w:sz w:val="20"/>
                <w:lang w:val="en-ZA"/>
              </w:rPr>
            </w:pPr>
          </w:p>
          <w:p w14:paraId="6B946BAB" w14:textId="77777777" w:rsidR="00546E27" w:rsidRPr="006E4F88" w:rsidRDefault="00546E27" w:rsidP="00065BFD">
            <w:pPr>
              <w:tabs>
                <w:tab w:val="left" w:pos="720"/>
              </w:tabs>
              <w:spacing w:line="360" w:lineRule="auto"/>
              <w:ind w:left="360"/>
              <w:jc w:val="both"/>
              <w:rPr>
                <w:rFonts w:ascii="Arial" w:hAnsi="Arial" w:cs="Arial"/>
                <w:b/>
                <w:sz w:val="20"/>
                <w:lang w:val="en-ZA"/>
              </w:rPr>
            </w:pPr>
          </w:p>
          <w:p w14:paraId="37F3603B" w14:textId="77777777" w:rsidR="00546E27" w:rsidRDefault="00546E27" w:rsidP="00065BFD">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546E27" w:rsidRPr="000C5130" w14:paraId="261A8C13" w14:textId="77777777" w:rsidTr="00065BFD">
              <w:trPr>
                <w:trHeight w:val="287"/>
              </w:trPr>
              <w:tc>
                <w:tcPr>
                  <w:tcW w:w="3694" w:type="dxa"/>
                  <w:shd w:val="clear" w:color="auto" w:fill="D9D9D9" w:themeFill="background1" w:themeFillShade="D9"/>
                </w:tcPr>
                <w:p w14:paraId="0EBF7A7F"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2CB236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546E27" w:rsidRPr="000C5130" w14:paraId="3D896740" w14:textId="77777777" w:rsidTr="00065BFD">
              <w:trPr>
                <w:trHeight w:val="302"/>
              </w:trPr>
              <w:tc>
                <w:tcPr>
                  <w:tcW w:w="3694" w:type="dxa"/>
                  <w:shd w:val="clear" w:color="auto" w:fill="auto"/>
                </w:tcPr>
                <w:p w14:paraId="637C8453" w14:textId="77777777" w:rsidR="00546E27" w:rsidRPr="000C5130" w:rsidRDefault="00546E27" w:rsidP="00065BFD">
                  <w:pPr>
                    <w:tabs>
                      <w:tab w:val="left" w:pos="720"/>
                    </w:tabs>
                    <w:spacing w:line="276" w:lineRule="auto"/>
                    <w:jc w:val="both"/>
                    <w:rPr>
                      <w:rFonts w:ascii="Arial" w:hAnsi="Arial" w:cs="Arial"/>
                      <w:sz w:val="20"/>
                    </w:rPr>
                  </w:pPr>
                </w:p>
              </w:tc>
              <w:tc>
                <w:tcPr>
                  <w:tcW w:w="3694" w:type="dxa"/>
                  <w:shd w:val="clear" w:color="auto" w:fill="auto"/>
                </w:tcPr>
                <w:p w14:paraId="3AED52AC" w14:textId="77777777" w:rsidR="00546E27" w:rsidRPr="000C5130" w:rsidRDefault="00546E27" w:rsidP="00065BFD">
                  <w:pPr>
                    <w:tabs>
                      <w:tab w:val="left" w:pos="720"/>
                    </w:tabs>
                    <w:spacing w:line="276" w:lineRule="auto"/>
                    <w:jc w:val="both"/>
                    <w:rPr>
                      <w:rFonts w:ascii="Arial" w:hAnsi="Arial" w:cs="Arial"/>
                      <w:sz w:val="20"/>
                    </w:rPr>
                  </w:pPr>
                </w:p>
              </w:tc>
            </w:tr>
          </w:tbl>
          <w:p w14:paraId="5B4AE920" w14:textId="77777777" w:rsidR="00546E27" w:rsidRDefault="00546E27" w:rsidP="00065BFD">
            <w:pPr>
              <w:pStyle w:val="ListParagraph"/>
              <w:rPr>
                <w:rFonts w:ascii="Arial" w:hAnsi="Arial" w:cs="Arial"/>
                <w:b/>
                <w:sz w:val="20"/>
                <w:lang w:val="en-ZA"/>
              </w:rPr>
            </w:pPr>
          </w:p>
          <w:p w14:paraId="63DE5986" w14:textId="77777777" w:rsidR="00546E27" w:rsidRDefault="00546E27" w:rsidP="00065BFD">
            <w:pPr>
              <w:pStyle w:val="ListParagraph"/>
              <w:rPr>
                <w:rFonts w:ascii="Arial" w:hAnsi="Arial" w:cs="Arial"/>
                <w:b/>
                <w:sz w:val="20"/>
                <w:lang w:val="en-ZA"/>
              </w:rPr>
            </w:pPr>
          </w:p>
          <w:p w14:paraId="641D4EE8" w14:textId="77777777" w:rsidR="00546E27" w:rsidRDefault="00546E27" w:rsidP="00065BFD">
            <w:pPr>
              <w:pStyle w:val="ListParagraph"/>
              <w:rPr>
                <w:rFonts w:ascii="Arial" w:hAnsi="Arial" w:cs="Arial"/>
                <w:b/>
                <w:sz w:val="20"/>
                <w:lang w:val="en-ZA"/>
              </w:rPr>
            </w:pPr>
          </w:p>
          <w:p w14:paraId="65B78CFE" w14:textId="77777777" w:rsidR="004175E2" w:rsidRDefault="004175E2" w:rsidP="00065BFD">
            <w:pPr>
              <w:tabs>
                <w:tab w:val="left" w:pos="720"/>
              </w:tabs>
              <w:spacing w:line="276" w:lineRule="auto"/>
              <w:ind w:left="360"/>
              <w:jc w:val="both"/>
              <w:rPr>
                <w:rFonts w:ascii="Arial" w:hAnsi="Arial" w:cs="Arial"/>
                <w:b/>
                <w:sz w:val="20"/>
                <w:lang w:val="en-ZA"/>
              </w:rPr>
            </w:pPr>
          </w:p>
          <w:p w14:paraId="71443C5C" w14:textId="47BE6A22" w:rsidR="00546E27" w:rsidRPr="000C5130" w:rsidRDefault="00546E27" w:rsidP="009F095B">
            <w:pPr>
              <w:pStyle w:val="Default"/>
              <w:rPr>
                <w:sz w:val="20"/>
              </w:rPr>
            </w:pPr>
          </w:p>
        </w:tc>
      </w:tr>
    </w:tbl>
    <w:p w14:paraId="4B7AD2E5" w14:textId="43189CC9" w:rsidR="00005A8B" w:rsidRDefault="00005A8B" w:rsidP="00EB6A30">
      <w:pPr>
        <w:spacing w:after="120" w:line="276" w:lineRule="auto"/>
        <w:rPr>
          <w:rFonts w:ascii="Arial" w:hAnsi="Arial" w:cs="Arial"/>
          <w:b/>
          <w:sz w:val="22"/>
        </w:rPr>
      </w:pPr>
    </w:p>
    <w:p w14:paraId="18D61510" w14:textId="77777777" w:rsidR="009F095B" w:rsidRDefault="009F095B" w:rsidP="00EB6A30">
      <w:pPr>
        <w:spacing w:after="120" w:line="276" w:lineRule="auto"/>
        <w:rPr>
          <w:rFonts w:ascii="Arial" w:hAnsi="Arial" w:cs="Arial"/>
          <w:b/>
          <w:sz w:val="22"/>
        </w:rPr>
      </w:pPr>
    </w:p>
    <w:p w14:paraId="654C0147" w14:textId="77777777" w:rsidR="009F095B" w:rsidRDefault="009F095B" w:rsidP="00EB6A30">
      <w:pPr>
        <w:spacing w:after="120" w:line="276" w:lineRule="auto"/>
        <w:rPr>
          <w:rFonts w:ascii="Arial" w:hAnsi="Arial" w:cs="Arial"/>
          <w:b/>
          <w:sz w:val="22"/>
        </w:rPr>
      </w:pPr>
    </w:p>
    <w:p w14:paraId="14951245" w14:textId="2D4716C5" w:rsidR="0039219D" w:rsidRPr="00506A41" w:rsidRDefault="0039219D" w:rsidP="00EB6A30">
      <w:pPr>
        <w:spacing w:after="120" w:line="276" w:lineRule="auto"/>
        <w:rPr>
          <w:rFonts w:ascii="Arial" w:hAnsi="Arial" w:cs="Arial"/>
          <w:b/>
          <w:sz w:val="22"/>
        </w:rPr>
      </w:pPr>
      <w:bookmarkStart w:id="3" w:name="_Hlk198282443"/>
      <w:r w:rsidRPr="00506A41">
        <w:rPr>
          <w:rFonts w:ascii="Arial" w:hAnsi="Arial" w:cs="Arial"/>
          <w:b/>
          <w:sz w:val="22"/>
        </w:rPr>
        <w:t xml:space="preserve">Section </w:t>
      </w:r>
      <w:r w:rsidR="00D371AE">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5B1B983" w:rsidR="0039219D" w:rsidRPr="00506A41" w:rsidRDefault="0039219D" w:rsidP="000B7D6D">
            <w:pPr>
              <w:spacing w:after="120" w:line="276" w:lineRule="auto"/>
              <w:jc w:val="both"/>
              <w:rPr>
                <w:rFonts w:ascii="Arial" w:hAnsi="Arial" w:cs="Arial"/>
                <w:sz w:val="20"/>
                <w:szCs w:val="22"/>
                <w:lang w:val="en-ZA"/>
              </w:rPr>
            </w:pPr>
          </w:p>
        </w:tc>
      </w:tr>
      <w:tr w:rsidR="0039219D" w:rsidRPr="000C5130" w14:paraId="5EDAC0D0" w14:textId="77777777" w:rsidTr="00DF46B0">
        <w:trPr>
          <w:trHeight w:val="723"/>
        </w:trPr>
        <w:tc>
          <w:tcPr>
            <w:tcW w:w="9050" w:type="dxa"/>
            <w:shd w:val="clear" w:color="auto" w:fill="auto"/>
          </w:tcPr>
          <w:p w14:paraId="26714B8F" w14:textId="0BB8D14C"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w:t>
            </w:r>
            <w:r w:rsidR="004175E2">
              <w:rPr>
                <w:rFonts w:ascii="Arial" w:hAnsi="Arial" w:cs="Arial"/>
                <w:sz w:val="20"/>
                <w:lang w:val="en-ZA"/>
              </w:rPr>
              <w:t xml:space="preserve">2.5% </w:t>
            </w:r>
            <w:r w:rsidRPr="0029148E">
              <w:rPr>
                <w:rFonts w:ascii="Arial" w:hAnsi="Arial" w:cs="Arial"/>
                <w:sz w:val="20"/>
                <w:lang w:val="en-ZA"/>
              </w:rPr>
              <w:t xml:space="preserve">of the Contract Value for failure to meet SDL&amp;I obligations. </w:t>
            </w:r>
          </w:p>
          <w:p w14:paraId="17136A1E" w14:textId="111FE946" w:rsidR="00EF4E0F" w:rsidRPr="00661518" w:rsidRDefault="00005A8B" w:rsidP="00661518">
            <w:pPr>
              <w:spacing w:line="360" w:lineRule="auto"/>
              <w:contextualSpacing/>
              <w:jc w:val="both"/>
              <w:rPr>
                <w:rFonts w:ascii="Arial" w:eastAsia="Calibri" w:hAnsi="Arial" w:cs="Arial"/>
                <w:sz w:val="20"/>
                <w:lang w:val="en-ZA"/>
              </w:rPr>
            </w:pPr>
            <w:r w:rsidRPr="0029148E">
              <w:rPr>
                <w:rFonts w:ascii="Arial" w:hAnsi="Arial" w:cs="Arial"/>
                <w:sz w:val="20"/>
                <w:lang w:val="en-ZA"/>
              </w:rPr>
              <w:lastRenderedPageBreak/>
              <w:t xml:space="preserve">For the duration of the contract, Eskom will retain </w:t>
            </w:r>
            <w:r w:rsidR="004175E2">
              <w:rPr>
                <w:rFonts w:ascii="Arial" w:hAnsi="Arial" w:cs="Arial"/>
                <w:sz w:val="20"/>
                <w:lang w:val="en-ZA"/>
              </w:rPr>
              <w:t xml:space="preserve">2.5% </w:t>
            </w:r>
            <w:r w:rsidRPr="0029148E">
              <w:rPr>
                <w:rFonts w:ascii="Arial" w:hAnsi="Arial" w:cs="Arial"/>
                <w:sz w:val="20"/>
                <w:lang w:val="en-ZA"/>
              </w:rPr>
              <w:t>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661518">
              <w:rPr>
                <w:rFonts w:ascii="Arial" w:eastAsia="Calibri" w:hAnsi="Arial" w:cs="Arial"/>
                <w:sz w:val="20"/>
                <w:lang w:val="en-ZA"/>
              </w:rPr>
              <w:t xml:space="preserve"> f</w:t>
            </w:r>
            <w:r w:rsidRPr="00661518">
              <w:rPr>
                <w:rFonts w:ascii="Arial" w:eastAsia="Calibri" w:hAnsi="Arial" w:cs="Arial"/>
                <w:sz w:val="20"/>
                <w:lang w:val="en-ZA"/>
              </w:rPr>
              <w:t xml:space="preserve">ulfilment of all SDL&amp;I obligations </w:t>
            </w:r>
            <w:r w:rsidR="00111B2E" w:rsidRPr="00661518">
              <w:rPr>
                <w:rFonts w:ascii="Arial" w:eastAsia="Calibri" w:hAnsi="Arial" w:cs="Arial"/>
                <w:sz w:val="20"/>
                <w:lang w:val="en-ZA"/>
              </w:rPr>
              <w:t>by the contractor</w:t>
            </w:r>
            <w:r w:rsidR="0088072F" w:rsidRPr="00661518">
              <w:rPr>
                <w:rFonts w:ascii="Arial" w:eastAsia="Calibri" w:hAnsi="Arial" w:cs="Arial"/>
                <w:sz w:val="20"/>
                <w:lang w:val="en-ZA"/>
              </w:rPr>
              <w:t>.</w:t>
            </w:r>
          </w:p>
        </w:tc>
      </w:tr>
      <w:bookmarkEnd w:id="3"/>
    </w:tbl>
    <w:p w14:paraId="1C3669AC" w14:textId="436FEA90" w:rsidR="00F76156" w:rsidRDefault="00F76156" w:rsidP="00C7656D">
      <w:pPr>
        <w:spacing w:after="200" w:line="276" w:lineRule="auto"/>
        <w:rPr>
          <w:rFonts w:ascii="Arial" w:hAnsi="Arial" w:cs="Arial"/>
          <w:b/>
          <w:sz w:val="22"/>
        </w:rPr>
      </w:pPr>
    </w:p>
    <w:p w14:paraId="35DAD45A" w14:textId="33984840"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D371AE">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4"/>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55EF50FA" w14:textId="77777777" w:rsidR="004175E2" w:rsidRDefault="004175E2" w:rsidP="00EB6A30">
      <w:pPr>
        <w:spacing w:after="120" w:line="276" w:lineRule="auto"/>
        <w:rPr>
          <w:rFonts w:ascii="Arial" w:hAnsi="Arial" w:cs="Arial"/>
          <w:b/>
          <w:sz w:val="22"/>
        </w:rPr>
      </w:pPr>
    </w:p>
    <w:p w14:paraId="486E9A04" w14:textId="6D4BA952" w:rsidR="00D45AEE" w:rsidRPr="00EB6A30" w:rsidRDefault="00C77EB9" w:rsidP="00EB6A30">
      <w:pPr>
        <w:spacing w:after="120" w:line="276" w:lineRule="auto"/>
        <w:rPr>
          <w:rFonts w:ascii="Arial" w:hAnsi="Arial" w:cs="Arial"/>
          <w:b/>
          <w:sz w:val="22"/>
        </w:rPr>
      </w:pPr>
      <w:r>
        <w:rPr>
          <w:rFonts w:ascii="Arial" w:hAnsi="Arial" w:cs="Arial"/>
          <w:b/>
          <w:sz w:val="22"/>
        </w:rPr>
        <w:t xml:space="preserve">Section </w:t>
      </w:r>
      <w:r w:rsidR="00D371AE">
        <w:rPr>
          <w:rFonts w:ascii="Arial" w:hAnsi="Arial" w:cs="Arial"/>
          <w:b/>
          <w:sz w:val="22"/>
        </w:rPr>
        <w:t>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The following information demonstrates market analysis and assisted in arriving at the targets above.</w:t>
            </w:r>
            <w:r w:rsidRPr="00EB6A30">
              <w:rPr>
                <w:sz w:val="20"/>
              </w:rPr>
              <w:t xml:space="preserve">  </w:t>
            </w:r>
          </w:p>
        </w:tc>
      </w:tr>
      <w:tr w:rsidR="00E500CF" w:rsidRPr="00EB6A30" w14:paraId="25234F53" w14:textId="77777777" w:rsidTr="00175644">
        <w:trPr>
          <w:trHeight w:val="780"/>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1BCFF973" w:rsidR="002E453E" w:rsidRPr="00FB2E48" w:rsidRDefault="00175644" w:rsidP="002E7887">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2AECCCB8" w:rsidR="001A1B65" w:rsidRPr="00692B80" w:rsidRDefault="001A1B65" w:rsidP="00FB1E51">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4E0D85ED"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438A9D09" w14:textId="37B72E2C" w:rsidR="00175644" w:rsidRDefault="00175644" w:rsidP="00304117">
      <w:pPr>
        <w:pBdr>
          <w:bottom w:val="single" w:sz="12" w:space="1" w:color="auto"/>
        </w:pBdr>
        <w:tabs>
          <w:tab w:val="left" w:pos="720"/>
        </w:tabs>
        <w:jc w:val="both"/>
        <w:rPr>
          <w:rFonts w:ascii="Arial" w:hAnsi="Arial" w:cs="Arial"/>
          <w:b/>
          <w:sz w:val="20"/>
        </w:rPr>
      </w:pPr>
    </w:p>
    <w:p w14:paraId="47CAAEB1" w14:textId="77777777" w:rsidR="004175E2" w:rsidRDefault="004175E2" w:rsidP="00304117">
      <w:pPr>
        <w:pBdr>
          <w:bottom w:val="single" w:sz="12" w:space="1" w:color="auto"/>
        </w:pBdr>
        <w:tabs>
          <w:tab w:val="left" w:pos="720"/>
        </w:tabs>
        <w:jc w:val="both"/>
        <w:rPr>
          <w:rFonts w:ascii="Arial" w:hAnsi="Arial" w:cs="Arial"/>
          <w:b/>
          <w:sz w:val="20"/>
        </w:rPr>
      </w:pPr>
    </w:p>
    <w:p w14:paraId="2210A213" w14:textId="77777777" w:rsidR="004175E2" w:rsidRDefault="004175E2" w:rsidP="00304117">
      <w:pPr>
        <w:pBdr>
          <w:bottom w:val="single" w:sz="12" w:space="1" w:color="auto"/>
        </w:pBdr>
        <w:tabs>
          <w:tab w:val="left" w:pos="720"/>
        </w:tabs>
        <w:jc w:val="both"/>
        <w:rPr>
          <w:rFonts w:ascii="Arial" w:hAnsi="Arial" w:cs="Arial"/>
          <w:b/>
          <w:sz w:val="20"/>
        </w:rPr>
      </w:pPr>
    </w:p>
    <w:p w14:paraId="6B4DBA0B" w14:textId="77777777" w:rsidR="004175E2" w:rsidRDefault="004175E2" w:rsidP="00304117">
      <w:pPr>
        <w:pBdr>
          <w:bottom w:val="single" w:sz="12" w:space="1" w:color="auto"/>
        </w:pBdr>
        <w:tabs>
          <w:tab w:val="left" w:pos="720"/>
        </w:tabs>
        <w:jc w:val="both"/>
        <w:rPr>
          <w:rFonts w:ascii="Arial" w:hAnsi="Arial" w:cs="Arial"/>
          <w:b/>
          <w:sz w:val="20"/>
        </w:rPr>
      </w:pPr>
    </w:p>
    <w:p w14:paraId="2380056C" w14:textId="77777777" w:rsidR="004175E2" w:rsidRDefault="004175E2" w:rsidP="00304117">
      <w:pPr>
        <w:pBdr>
          <w:bottom w:val="single" w:sz="12" w:space="1" w:color="auto"/>
        </w:pBdr>
        <w:tabs>
          <w:tab w:val="left" w:pos="720"/>
        </w:tabs>
        <w:jc w:val="both"/>
        <w:rPr>
          <w:rFonts w:ascii="Arial" w:hAnsi="Arial" w:cs="Arial"/>
          <w:b/>
          <w:sz w:val="20"/>
        </w:rPr>
      </w:pPr>
    </w:p>
    <w:p w14:paraId="5CEB58D7" w14:textId="77777777" w:rsidR="004175E2" w:rsidRDefault="004175E2" w:rsidP="00304117">
      <w:pPr>
        <w:pBdr>
          <w:bottom w:val="single" w:sz="12" w:space="1" w:color="auto"/>
        </w:pBdr>
        <w:tabs>
          <w:tab w:val="left" w:pos="720"/>
        </w:tabs>
        <w:jc w:val="both"/>
        <w:rPr>
          <w:rFonts w:ascii="Arial" w:hAnsi="Arial" w:cs="Arial"/>
          <w:b/>
          <w:sz w:val="20"/>
        </w:rPr>
      </w:pPr>
    </w:p>
    <w:p w14:paraId="081B62F3" w14:textId="77777777" w:rsidR="004175E2" w:rsidRDefault="004175E2" w:rsidP="00304117">
      <w:pPr>
        <w:pBdr>
          <w:bottom w:val="single" w:sz="12" w:space="1" w:color="auto"/>
        </w:pBdr>
        <w:tabs>
          <w:tab w:val="left" w:pos="720"/>
        </w:tabs>
        <w:jc w:val="both"/>
        <w:rPr>
          <w:rFonts w:ascii="Arial" w:hAnsi="Arial" w:cs="Arial"/>
          <w:b/>
          <w:sz w:val="20"/>
        </w:rPr>
      </w:pPr>
    </w:p>
    <w:tbl>
      <w:tblPr>
        <w:tblStyle w:val="TableGrid"/>
        <w:tblW w:w="4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tblGrid>
      <w:tr w:rsidR="009F095B" w14:paraId="30DE1F01" w14:textId="77777777" w:rsidTr="009F095B">
        <w:trPr>
          <w:trHeight w:val="251"/>
        </w:trPr>
        <w:tc>
          <w:tcPr>
            <w:tcW w:w="4548" w:type="dxa"/>
          </w:tcPr>
          <w:p w14:paraId="691728AD" w14:textId="1BC8EB26" w:rsidR="009F095B" w:rsidRDefault="009F095B" w:rsidP="00512D9C">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Martin Mojela </w:t>
            </w:r>
          </w:p>
        </w:tc>
      </w:tr>
      <w:tr w:rsidR="009F095B" w:rsidRPr="00C929CD" w14:paraId="716FCCF3" w14:textId="77777777" w:rsidTr="009F095B">
        <w:trPr>
          <w:trHeight w:val="1038"/>
        </w:trPr>
        <w:tc>
          <w:tcPr>
            <w:tcW w:w="4548" w:type="dxa"/>
          </w:tcPr>
          <w:p w14:paraId="545826BB" w14:textId="77777777" w:rsidR="009F095B" w:rsidRDefault="009F095B" w:rsidP="00512D9C">
            <w:pPr>
              <w:tabs>
                <w:tab w:val="left" w:pos="720"/>
              </w:tabs>
              <w:jc w:val="both"/>
              <w:rPr>
                <w:rFonts w:ascii="Arial" w:hAnsi="Arial" w:cs="Arial"/>
                <w:sz w:val="20"/>
              </w:rPr>
            </w:pPr>
          </w:p>
          <w:p w14:paraId="54D2A4B5" w14:textId="77777777" w:rsidR="009F095B" w:rsidRPr="00AC3774" w:rsidRDefault="009F095B" w:rsidP="00512D9C">
            <w:pPr>
              <w:tabs>
                <w:tab w:val="left" w:pos="720"/>
              </w:tabs>
              <w:jc w:val="both"/>
              <w:rPr>
                <w:rFonts w:ascii="Arial" w:hAnsi="Arial" w:cs="Arial"/>
                <w:sz w:val="20"/>
              </w:rPr>
            </w:pPr>
          </w:p>
          <w:p w14:paraId="30058640" w14:textId="77777777" w:rsidR="009F095B" w:rsidRPr="00AC3774" w:rsidRDefault="009F095B" w:rsidP="00512D9C">
            <w:pPr>
              <w:tabs>
                <w:tab w:val="left" w:pos="720"/>
              </w:tabs>
              <w:jc w:val="both"/>
              <w:rPr>
                <w:rFonts w:ascii="Arial" w:hAnsi="Arial" w:cs="Arial"/>
                <w:sz w:val="20"/>
              </w:rPr>
            </w:pPr>
            <w:r w:rsidRPr="00AC3774">
              <w:rPr>
                <w:rFonts w:ascii="Arial" w:hAnsi="Arial" w:cs="Arial"/>
                <w:sz w:val="20"/>
              </w:rPr>
              <w:t>……………………………..</w:t>
            </w:r>
          </w:p>
          <w:p w14:paraId="5EFC1E90" w14:textId="77777777" w:rsidR="009F095B" w:rsidRPr="00AC3774" w:rsidRDefault="009F095B" w:rsidP="00512D9C">
            <w:pPr>
              <w:tabs>
                <w:tab w:val="left" w:pos="720"/>
              </w:tabs>
              <w:jc w:val="both"/>
              <w:rPr>
                <w:rFonts w:ascii="Arial" w:hAnsi="Arial" w:cs="Arial"/>
                <w:sz w:val="20"/>
              </w:rPr>
            </w:pPr>
            <w:r>
              <w:rPr>
                <w:rFonts w:ascii="Arial" w:hAnsi="Arial" w:cs="Arial"/>
                <w:sz w:val="20"/>
              </w:rPr>
              <w:t>Senior Advisor</w:t>
            </w:r>
          </w:p>
        </w:tc>
      </w:tr>
      <w:tr w:rsidR="009F095B" w:rsidRPr="00AC3774" w14:paraId="5250310B" w14:textId="77777777" w:rsidTr="009F095B">
        <w:trPr>
          <w:trHeight w:val="251"/>
        </w:trPr>
        <w:tc>
          <w:tcPr>
            <w:tcW w:w="4548" w:type="dxa"/>
          </w:tcPr>
          <w:p w14:paraId="69168069" w14:textId="77777777" w:rsidR="009F095B" w:rsidRPr="00AC3774" w:rsidRDefault="009F095B" w:rsidP="00512D9C">
            <w:pPr>
              <w:tabs>
                <w:tab w:val="left" w:pos="720"/>
              </w:tabs>
              <w:rPr>
                <w:rFonts w:ascii="Arial" w:hAnsi="Arial" w:cs="Arial"/>
                <w:sz w:val="20"/>
              </w:rPr>
            </w:pPr>
            <w:r w:rsidRPr="00AC3774">
              <w:rPr>
                <w:rFonts w:ascii="Arial" w:hAnsi="Arial" w:cs="Arial"/>
                <w:sz w:val="20"/>
              </w:rPr>
              <w:t>Supplier Development</w:t>
            </w:r>
            <w:r>
              <w:rPr>
                <w:rFonts w:ascii="Arial" w:hAnsi="Arial" w:cs="Arial"/>
                <w:sz w:val="20"/>
              </w:rPr>
              <w:t>, Localiz</w:t>
            </w:r>
            <w:r w:rsidRPr="00AC3774">
              <w:rPr>
                <w:rFonts w:ascii="Arial" w:hAnsi="Arial" w:cs="Arial"/>
                <w:sz w:val="20"/>
              </w:rPr>
              <w:t>ation</w:t>
            </w:r>
            <w:r>
              <w:rPr>
                <w:rFonts w:ascii="Arial" w:hAnsi="Arial" w:cs="Arial"/>
                <w:sz w:val="20"/>
              </w:rPr>
              <w:t xml:space="preserve"> and Industrialization</w:t>
            </w:r>
          </w:p>
        </w:tc>
      </w:tr>
      <w:tr w:rsidR="009F095B" w:rsidRPr="00AC3774" w14:paraId="7B740DC3" w14:textId="77777777" w:rsidTr="009F095B">
        <w:trPr>
          <w:trHeight w:val="770"/>
        </w:trPr>
        <w:tc>
          <w:tcPr>
            <w:tcW w:w="4548" w:type="dxa"/>
          </w:tcPr>
          <w:p w14:paraId="6976675C" w14:textId="77777777" w:rsidR="009F095B" w:rsidRPr="00AC3774" w:rsidRDefault="009F095B" w:rsidP="00512D9C">
            <w:pPr>
              <w:tabs>
                <w:tab w:val="left" w:pos="720"/>
              </w:tabs>
              <w:jc w:val="both"/>
              <w:rPr>
                <w:rFonts w:ascii="Arial" w:hAnsi="Arial" w:cs="Arial"/>
                <w:sz w:val="20"/>
              </w:rPr>
            </w:pPr>
          </w:p>
          <w:p w14:paraId="7E6811A1" w14:textId="77777777" w:rsidR="009F095B" w:rsidRDefault="009F095B" w:rsidP="00512D9C">
            <w:pPr>
              <w:tabs>
                <w:tab w:val="left" w:pos="720"/>
              </w:tabs>
              <w:jc w:val="both"/>
              <w:rPr>
                <w:rFonts w:ascii="Arial" w:hAnsi="Arial" w:cs="Arial"/>
                <w:sz w:val="20"/>
              </w:rPr>
            </w:pPr>
            <w:r>
              <w:rPr>
                <w:rFonts w:ascii="Arial" w:hAnsi="Arial" w:cs="Arial"/>
                <w:sz w:val="20"/>
              </w:rPr>
              <w:t xml:space="preserve">Date: </w:t>
            </w:r>
          </w:p>
          <w:p w14:paraId="79794C30" w14:textId="77777777" w:rsidR="009F095B" w:rsidRPr="00AC3774" w:rsidRDefault="009F095B" w:rsidP="00512D9C">
            <w:pPr>
              <w:tabs>
                <w:tab w:val="left" w:pos="720"/>
              </w:tabs>
              <w:jc w:val="both"/>
              <w:rPr>
                <w:rFonts w:ascii="Arial" w:hAnsi="Arial" w:cs="Arial"/>
                <w:sz w:val="20"/>
              </w:rPr>
            </w:pPr>
          </w:p>
        </w:tc>
      </w:tr>
    </w:tbl>
    <w:p w14:paraId="09590270" w14:textId="77777777" w:rsidR="00175644" w:rsidRDefault="00175644" w:rsidP="00304117">
      <w:pPr>
        <w:pBdr>
          <w:bottom w:val="single" w:sz="12" w:space="1" w:color="auto"/>
        </w:pBdr>
        <w:tabs>
          <w:tab w:val="left" w:pos="720"/>
        </w:tabs>
        <w:jc w:val="both"/>
        <w:rPr>
          <w:rFonts w:ascii="Arial" w:hAnsi="Arial" w:cs="Arial"/>
          <w:b/>
          <w:sz w:val="20"/>
        </w:rPr>
      </w:pPr>
    </w:p>
    <w:sectPr w:rsidR="00175644"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43D1" w14:textId="77777777" w:rsidR="002238DA" w:rsidRDefault="002238DA" w:rsidP="00201A98">
      <w:r>
        <w:separator/>
      </w:r>
    </w:p>
  </w:endnote>
  <w:endnote w:type="continuationSeparator" w:id="0">
    <w:p w14:paraId="4B51FAE9" w14:textId="77777777" w:rsidR="002238DA" w:rsidRDefault="002238DA"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8C074" w14:textId="77777777" w:rsidR="002238DA" w:rsidRDefault="002238DA" w:rsidP="00201A98">
      <w:r>
        <w:separator/>
      </w:r>
    </w:p>
  </w:footnote>
  <w:footnote w:type="continuationSeparator" w:id="0">
    <w:p w14:paraId="18DAC53B" w14:textId="77777777" w:rsidR="002238DA" w:rsidRDefault="002238DA"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841153"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3647598" r:id="rId2"/>
            </w:object>
          </w:r>
        </w:p>
      </w:tc>
      <w:tc>
        <w:tcPr>
          <w:tcW w:w="3544" w:type="dxa"/>
          <w:vMerge w:val="restart"/>
          <w:vAlign w:val="center"/>
        </w:tcPr>
        <w:p w14:paraId="51058E85" w14:textId="14B70B21" w:rsidR="00BC2207" w:rsidRPr="00CA666C" w:rsidRDefault="00BC2207" w:rsidP="00BC2207">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218BB"/>
    <w:multiLevelType w:val="hybridMultilevel"/>
    <w:tmpl w:val="FA50532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2303AAF"/>
    <w:multiLevelType w:val="multilevel"/>
    <w:tmpl w:val="326E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0"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1"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3"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7"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1"/>
  </w:num>
  <w:num w:numId="2" w16cid:durableId="769589901">
    <w:abstractNumId w:val="33"/>
  </w:num>
  <w:num w:numId="3" w16cid:durableId="1636983690">
    <w:abstractNumId w:val="34"/>
  </w:num>
  <w:num w:numId="4" w16cid:durableId="1049838470">
    <w:abstractNumId w:val="5"/>
  </w:num>
  <w:num w:numId="5" w16cid:durableId="747270413">
    <w:abstractNumId w:val="16"/>
  </w:num>
  <w:num w:numId="6" w16cid:durableId="298614127">
    <w:abstractNumId w:val="21"/>
  </w:num>
  <w:num w:numId="7" w16cid:durableId="886451534">
    <w:abstractNumId w:val="40"/>
  </w:num>
  <w:num w:numId="8" w16cid:durableId="1364016205">
    <w:abstractNumId w:val="8"/>
  </w:num>
  <w:num w:numId="9" w16cid:durableId="501093778">
    <w:abstractNumId w:val="25"/>
  </w:num>
  <w:num w:numId="10" w16cid:durableId="296688292">
    <w:abstractNumId w:val="30"/>
  </w:num>
  <w:num w:numId="11" w16cid:durableId="1367868149">
    <w:abstractNumId w:val="37"/>
  </w:num>
  <w:num w:numId="12" w16cid:durableId="1739786048">
    <w:abstractNumId w:val="14"/>
  </w:num>
  <w:num w:numId="13" w16cid:durableId="621349608">
    <w:abstractNumId w:val="26"/>
  </w:num>
  <w:num w:numId="14" w16cid:durableId="416682265">
    <w:abstractNumId w:val="19"/>
  </w:num>
  <w:num w:numId="15" w16cid:durableId="867644372">
    <w:abstractNumId w:val="20"/>
  </w:num>
  <w:num w:numId="16" w16cid:durableId="1411199536">
    <w:abstractNumId w:val="3"/>
  </w:num>
  <w:num w:numId="17" w16cid:durableId="768938162">
    <w:abstractNumId w:val="23"/>
  </w:num>
  <w:num w:numId="18" w16cid:durableId="1103381334">
    <w:abstractNumId w:val="9"/>
  </w:num>
  <w:num w:numId="19" w16cid:durableId="1185709056">
    <w:abstractNumId w:val="32"/>
  </w:num>
  <w:num w:numId="20" w16cid:durableId="160703720">
    <w:abstractNumId w:val="15"/>
  </w:num>
  <w:num w:numId="21" w16cid:durableId="1083262651">
    <w:abstractNumId w:val="27"/>
  </w:num>
  <w:num w:numId="22" w16cid:durableId="594288937">
    <w:abstractNumId w:val="18"/>
  </w:num>
  <w:num w:numId="23" w16cid:durableId="137694747">
    <w:abstractNumId w:val="38"/>
  </w:num>
  <w:num w:numId="24" w16cid:durableId="1635332457">
    <w:abstractNumId w:val="24"/>
  </w:num>
  <w:num w:numId="25" w16cid:durableId="356195997">
    <w:abstractNumId w:val="13"/>
  </w:num>
  <w:num w:numId="26" w16cid:durableId="1068723575">
    <w:abstractNumId w:val="15"/>
  </w:num>
  <w:num w:numId="27" w16cid:durableId="1280183404">
    <w:abstractNumId w:val="44"/>
  </w:num>
  <w:num w:numId="28" w16cid:durableId="391970900">
    <w:abstractNumId w:val="29"/>
  </w:num>
  <w:num w:numId="29" w16cid:durableId="2142724945">
    <w:abstractNumId w:val="7"/>
  </w:num>
  <w:num w:numId="30" w16cid:durableId="1111973304">
    <w:abstractNumId w:val="35"/>
  </w:num>
  <w:num w:numId="31" w16cid:durableId="1998069011">
    <w:abstractNumId w:val="46"/>
  </w:num>
  <w:num w:numId="32" w16cid:durableId="1712143695">
    <w:abstractNumId w:val="42"/>
  </w:num>
  <w:num w:numId="33" w16cid:durableId="778767238">
    <w:abstractNumId w:val="36"/>
  </w:num>
  <w:num w:numId="34" w16cid:durableId="1249457635">
    <w:abstractNumId w:val="45"/>
  </w:num>
  <w:num w:numId="35" w16cid:durableId="1195466582">
    <w:abstractNumId w:val="22"/>
  </w:num>
  <w:num w:numId="36" w16cid:durableId="937130701">
    <w:abstractNumId w:val="43"/>
  </w:num>
  <w:num w:numId="37" w16cid:durableId="438137684">
    <w:abstractNumId w:val="10"/>
  </w:num>
  <w:num w:numId="38" w16cid:durableId="313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4"/>
  </w:num>
  <w:num w:numId="40" w16cid:durableId="189730281">
    <w:abstractNumId w:val="41"/>
  </w:num>
  <w:num w:numId="41" w16cid:durableId="986789375">
    <w:abstractNumId w:val="6"/>
  </w:num>
  <w:num w:numId="42" w16cid:durableId="733353706">
    <w:abstractNumId w:val="0"/>
  </w:num>
  <w:num w:numId="43" w16cid:durableId="859053093">
    <w:abstractNumId w:val="31"/>
  </w:num>
  <w:num w:numId="44" w16cid:durableId="2065517844">
    <w:abstractNumId w:val="1"/>
  </w:num>
  <w:num w:numId="45" w16cid:durableId="1979189320">
    <w:abstractNumId w:val="39"/>
  </w:num>
  <w:num w:numId="46" w16cid:durableId="792022753">
    <w:abstractNumId w:val="28"/>
  </w:num>
  <w:num w:numId="47" w16cid:durableId="1772626235">
    <w:abstractNumId w:val="17"/>
  </w:num>
  <w:num w:numId="48" w16cid:durableId="1788428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357"/>
    <w:rsid w:val="000E1AB5"/>
    <w:rsid w:val="000F528A"/>
    <w:rsid w:val="001022DD"/>
    <w:rsid w:val="00105474"/>
    <w:rsid w:val="00111B2E"/>
    <w:rsid w:val="00113DFD"/>
    <w:rsid w:val="00115ECC"/>
    <w:rsid w:val="00140917"/>
    <w:rsid w:val="001477A3"/>
    <w:rsid w:val="00151F81"/>
    <w:rsid w:val="001521AD"/>
    <w:rsid w:val="00154240"/>
    <w:rsid w:val="00155040"/>
    <w:rsid w:val="00155248"/>
    <w:rsid w:val="001645BF"/>
    <w:rsid w:val="00173BE4"/>
    <w:rsid w:val="00175644"/>
    <w:rsid w:val="001829A7"/>
    <w:rsid w:val="001A1B65"/>
    <w:rsid w:val="001A408A"/>
    <w:rsid w:val="001A57D9"/>
    <w:rsid w:val="001B2323"/>
    <w:rsid w:val="001B3B2A"/>
    <w:rsid w:val="001C599B"/>
    <w:rsid w:val="001C61B6"/>
    <w:rsid w:val="001D0409"/>
    <w:rsid w:val="001D042C"/>
    <w:rsid w:val="001D1614"/>
    <w:rsid w:val="001D391D"/>
    <w:rsid w:val="001D3F40"/>
    <w:rsid w:val="001E334E"/>
    <w:rsid w:val="001E4F28"/>
    <w:rsid w:val="001E64BB"/>
    <w:rsid w:val="00201A98"/>
    <w:rsid w:val="00203FB8"/>
    <w:rsid w:val="002114AF"/>
    <w:rsid w:val="002238DA"/>
    <w:rsid w:val="002319CA"/>
    <w:rsid w:val="002341C9"/>
    <w:rsid w:val="00253B8A"/>
    <w:rsid w:val="002632AA"/>
    <w:rsid w:val="00267F52"/>
    <w:rsid w:val="00270763"/>
    <w:rsid w:val="0027500D"/>
    <w:rsid w:val="002763F5"/>
    <w:rsid w:val="00276C45"/>
    <w:rsid w:val="0027700C"/>
    <w:rsid w:val="00280506"/>
    <w:rsid w:val="002855B7"/>
    <w:rsid w:val="002905F3"/>
    <w:rsid w:val="00296B82"/>
    <w:rsid w:val="002A7C4A"/>
    <w:rsid w:val="002B02CB"/>
    <w:rsid w:val="002B19FA"/>
    <w:rsid w:val="002B7514"/>
    <w:rsid w:val="002E453E"/>
    <w:rsid w:val="002E7887"/>
    <w:rsid w:val="002F4F5C"/>
    <w:rsid w:val="00304117"/>
    <w:rsid w:val="003113D9"/>
    <w:rsid w:val="003127C7"/>
    <w:rsid w:val="00317372"/>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0CA7"/>
    <w:rsid w:val="003914DE"/>
    <w:rsid w:val="0039219D"/>
    <w:rsid w:val="003B3ABD"/>
    <w:rsid w:val="003C07F4"/>
    <w:rsid w:val="003C18B8"/>
    <w:rsid w:val="003D48B8"/>
    <w:rsid w:val="003D66FA"/>
    <w:rsid w:val="003D78F9"/>
    <w:rsid w:val="003E052A"/>
    <w:rsid w:val="003E4D3F"/>
    <w:rsid w:val="003F2387"/>
    <w:rsid w:val="003F3E07"/>
    <w:rsid w:val="003F59CF"/>
    <w:rsid w:val="003F7B1E"/>
    <w:rsid w:val="00404772"/>
    <w:rsid w:val="004175E2"/>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E796C"/>
    <w:rsid w:val="004F07CB"/>
    <w:rsid w:val="004F117E"/>
    <w:rsid w:val="004F578D"/>
    <w:rsid w:val="00504CE2"/>
    <w:rsid w:val="00506A41"/>
    <w:rsid w:val="005125A6"/>
    <w:rsid w:val="0051409A"/>
    <w:rsid w:val="00514EB4"/>
    <w:rsid w:val="00520C8E"/>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61518"/>
    <w:rsid w:val="00670A7D"/>
    <w:rsid w:val="006714A6"/>
    <w:rsid w:val="00683CEE"/>
    <w:rsid w:val="00686AD4"/>
    <w:rsid w:val="00692B80"/>
    <w:rsid w:val="006A1569"/>
    <w:rsid w:val="006A443E"/>
    <w:rsid w:val="006A55C5"/>
    <w:rsid w:val="006A73A5"/>
    <w:rsid w:val="006B0DF7"/>
    <w:rsid w:val="006B3FA2"/>
    <w:rsid w:val="006B57DF"/>
    <w:rsid w:val="006C01E5"/>
    <w:rsid w:val="006C5DB9"/>
    <w:rsid w:val="006D07D5"/>
    <w:rsid w:val="006D6104"/>
    <w:rsid w:val="006E0940"/>
    <w:rsid w:val="006E14B5"/>
    <w:rsid w:val="006E1BFE"/>
    <w:rsid w:val="006E4F88"/>
    <w:rsid w:val="006E52BA"/>
    <w:rsid w:val="006F5D0A"/>
    <w:rsid w:val="006F7826"/>
    <w:rsid w:val="00702C96"/>
    <w:rsid w:val="00705512"/>
    <w:rsid w:val="00713E63"/>
    <w:rsid w:val="00720670"/>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D5975"/>
    <w:rsid w:val="007E0CE5"/>
    <w:rsid w:val="007F15E3"/>
    <w:rsid w:val="008023A2"/>
    <w:rsid w:val="00810BAA"/>
    <w:rsid w:val="00825B67"/>
    <w:rsid w:val="008279D0"/>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D0694"/>
    <w:rsid w:val="008D33FD"/>
    <w:rsid w:val="008F5BEC"/>
    <w:rsid w:val="009017B9"/>
    <w:rsid w:val="00903604"/>
    <w:rsid w:val="00914474"/>
    <w:rsid w:val="009214A0"/>
    <w:rsid w:val="00921932"/>
    <w:rsid w:val="00924E22"/>
    <w:rsid w:val="00931DE5"/>
    <w:rsid w:val="00944D59"/>
    <w:rsid w:val="0095525E"/>
    <w:rsid w:val="00965504"/>
    <w:rsid w:val="009677DD"/>
    <w:rsid w:val="00970379"/>
    <w:rsid w:val="00977B70"/>
    <w:rsid w:val="009801BA"/>
    <w:rsid w:val="00990864"/>
    <w:rsid w:val="009A7478"/>
    <w:rsid w:val="009A77EC"/>
    <w:rsid w:val="009F095B"/>
    <w:rsid w:val="009F3555"/>
    <w:rsid w:val="00A05C1D"/>
    <w:rsid w:val="00A111DA"/>
    <w:rsid w:val="00A22EF4"/>
    <w:rsid w:val="00A256F9"/>
    <w:rsid w:val="00A346F0"/>
    <w:rsid w:val="00A36904"/>
    <w:rsid w:val="00A4460B"/>
    <w:rsid w:val="00A473FA"/>
    <w:rsid w:val="00A532EE"/>
    <w:rsid w:val="00A651E0"/>
    <w:rsid w:val="00A6602E"/>
    <w:rsid w:val="00A674BB"/>
    <w:rsid w:val="00A67C16"/>
    <w:rsid w:val="00A72491"/>
    <w:rsid w:val="00A72A16"/>
    <w:rsid w:val="00A74FF7"/>
    <w:rsid w:val="00A91CB3"/>
    <w:rsid w:val="00AA16F4"/>
    <w:rsid w:val="00AA403D"/>
    <w:rsid w:val="00AB4D3B"/>
    <w:rsid w:val="00AB64E3"/>
    <w:rsid w:val="00AB650A"/>
    <w:rsid w:val="00AC3774"/>
    <w:rsid w:val="00AD784B"/>
    <w:rsid w:val="00AE7139"/>
    <w:rsid w:val="00AF35DE"/>
    <w:rsid w:val="00AF6824"/>
    <w:rsid w:val="00B00E72"/>
    <w:rsid w:val="00B0566F"/>
    <w:rsid w:val="00B11C8E"/>
    <w:rsid w:val="00B16C39"/>
    <w:rsid w:val="00B208D3"/>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C2207"/>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337A"/>
    <w:rsid w:val="00CA48E7"/>
    <w:rsid w:val="00CA666C"/>
    <w:rsid w:val="00CA7AEF"/>
    <w:rsid w:val="00CB13D4"/>
    <w:rsid w:val="00CB3564"/>
    <w:rsid w:val="00CB3BE1"/>
    <w:rsid w:val="00CB4DCA"/>
    <w:rsid w:val="00CB7D44"/>
    <w:rsid w:val="00CC4080"/>
    <w:rsid w:val="00CD787A"/>
    <w:rsid w:val="00CE00CF"/>
    <w:rsid w:val="00CE5EEE"/>
    <w:rsid w:val="00CF781D"/>
    <w:rsid w:val="00D04B3C"/>
    <w:rsid w:val="00D21895"/>
    <w:rsid w:val="00D2565A"/>
    <w:rsid w:val="00D32E5C"/>
    <w:rsid w:val="00D3660F"/>
    <w:rsid w:val="00D371AE"/>
    <w:rsid w:val="00D415A5"/>
    <w:rsid w:val="00D45AEE"/>
    <w:rsid w:val="00D479A6"/>
    <w:rsid w:val="00D5588B"/>
    <w:rsid w:val="00D60523"/>
    <w:rsid w:val="00D71719"/>
    <w:rsid w:val="00D754CB"/>
    <w:rsid w:val="00D817F7"/>
    <w:rsid w:val="00D86CD2"/>
    <w:rsid w:val="00D96397"/>
    <w:rsid w:val="00DA1B06"/>
    <w:rsid w:val="00DA3954"/>
    <w:rsid w:val="00DB22F3"/>
    <w:rsid w:val="00DB6A92"/>
    <w:rsid w:val="00DC3353"/>
    <w:rsid w:val="00DC6795"/>
    <w:rsid w:val="00DD4AD8"/>
    <w:rsid w:val="00DD5408"/>
    <w:rsid w:val="00DD7B12"/>
    <w:rsid w:val="00DE2368"/>
    <w:rsid w:val="00DF46B0"/>
    <w:rsid w:val="00E2355B"/>
    <w:rsid w:val="00E238C2"/>
    <w:rsid w:val="00E26D9A"/>
    <w:rsid w:val="00E35EB0"/>
    <w:rsid w:val="00E3774F"/>
    <w:rsid w:val="00E500CF"/>
    <w:rsid w:val="00E534E2"/>
    <w:rsid w:val="00E701E5"/>
    <w:rsid w:val="00E71288"/>
    <w:rsid w:val="00E71A93"/>
    <w:rsid w:val="00E74D52"/>
    <w:rsid w:val="00E855AE"/>
    <w:rsid w:val="00E86B6C"/>
    <w:rsid w:val="00E90B24"/>
    <w:rsid w:val="00EA1B3D"/>
    <w:rsid w:val="00EA320B"/>
    <w:rsid w:val="00EA4206"/>
    <w:rsid w:val="00EA765D"/>
    <w:rsid w:val="00EB03A4"/>
    <w:rsid w:val="00EB20DA"/>
    <w:rsid w:val="00EB6A30"/>
    <w:rsid w:val="00EC662F"/>
    <w:rsid w:val="00EC7AE8"/>
    <w:rsid w:val="00ED3E4E"/>
    <w:rsid w:val="00EF279E"/>
    <w:rsid w:val="00EF2F58"/>
    <w:rsid w:val="00EF4E0F"/>
    <w:rsid w:val="00EF5055"/>
    <w:rsid w:val="00EF67B3"/>
    <w:rsid w:val="00EF6D03"/>
    <w:rsid w:val="00EF748F"/>
    <w:rsid w:val="00EF780B"/>
    <w:rsid w:val="00F04C7B"/>
    <w:rsid w:val="00F0521B"/>
    <w:rsid w:val="00F16AC6"/>
    <w:rsid w:val="00F22D6B"/>
    <w:rsid w:val="00F243F6"/>
    <w:rsid w:val="00F300A7"/>
    <w:rsid w:val="00F3247D"/>
    <w:rsid w:val="00F337F6"/>
    <w:rsid w:val="00F4126F"/>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8D0694"/>
    <w:pPr>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4175E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16085128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87146644">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1801</Words>
  <Characters>10272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Martin Mojela</cp:lastModifiedBy>
  <cp:revision>3</cp:revision>
  <cp:lastPrinted>2025-07-10T07:51:00Z</cp:lastPrinted>
  <dcterms:created xsi:type="dcterms:W3CDTF">2025-07-10T08:12:00Z</dcterms:created>
  <dcterms:modified xsi:type="dcterms:W3CDTF">2025-07-10T08:13:00Z</dcterms:modified>
</cp:coreProperties>
</file>